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北京市委组织部2026</w:t>
      </w:r>
      <w:r>
        <w:rPr>
          <w:rFonts w:hint="default"/>
          <w:b/>
          <w:sz w:val="36"/>
          <w:szCs w:val="36"/>
        </w:rPr>
        <w:t>年北京政务云服务（互联网应用系统）基础服务项目</w:t>
      </w:r>
      <w:bookmarkStart w:id="0" w:name="_GoBack"/>
      <w:bookmarkEnd w:id="0"/>
      <w:r>
        <w:rPr>
          <w:b/>
          <w:sz w:val="36"/>
          <w:szCs w:val="36"/>
        </w:rPr>
        <w:t>采购需求</w:t>
      </w:r>
    </w:p>
    <w:p>
      <w:pPr>
        <w:pStyle w:val="10"/>
        <w:numPr>
          <w:ilvl w:val="0"/>
          <w:numId w:val="1"/>
        </w:numPr>
        <w:spacing w:line="360" w:lineRule="auto"/>
        <w:ind w:firstLineChars="0"/>
        <w:contextualSpacing/>
        <w:outlineLvl w:val="0"/>
        <w:rPr>
          <w:rFonts w:ascii="Times New Roman" w:hAnsi="Times New Roman"/>
          <w:b/>
          <w:sz w:val="24"/>
          <w:szCs w:val="24"/>
        </w:rPr>
      </w:pPr>
      <w:r>
        <w:rPr>
          <w:rFonts w:ascii="Times New Roman" w:hAnsi="Times New Roman"/>
          <w:b/>
          <w:sz w:val="24"/>
          <w:szCs w:val="24"/>
        </w:rPr>
        <w:t>采购标的</w:t>
      </w:r>
    </w:p>
    <w:p>
      <w:pPr>
        <w:spacing w:line="360" w:lineRule="auto"/>
        <w:contextualSpacing/>
        <w:outlineLvl w:val="1"/>
        <w:rPr>
          <w:bCs/>
          <w:sz w:val="24"/>
        </w:rPr>
      </w:pPr>
      <w:r>
        <w:rPr>
          <w:bCs/>
          <w:sz w:val="24"/>
        </w:rPr>
        <w:t>1. 采购标的（货物需求一览表或简要服务内容及数量）</w:t>
      </w:r>
    </w:p>
    <w:p>
      <w:pPr>
        <w:spacing w:line="360" w:lineRule="auto"/>
        <w:contextualSpacing/>
        <w:rPr>
          <w:bCs/>
          <w:sz w:val="24"/>
        </w:rPr>
      </w:pPr>
      <w:r>
        <w:rPr>
          <w:bCs/>
          <w:sz w:val="24"/>
        </w:rPr>
        <w:t>说明：如为货物采购，须标明是否接受进口产品</w:t>
      </w:r>
      <w:r>
        <w:rPr>
          <w:rFonts w:hint="eastAsia"/>
          <w:bCs/>
          <w:sz w:val="24"/>
        </w:rPr>
        <w:t>，表明核心产品</w:t>
      </w:r>
      <w:r>
        <w:rPr>
          <w:bCs/>
          <w:sz w:val="24"/>
        </w:rPr>
        <w:t>。</w:t>
      </w:r>
    </w:p>
    <w:tbl>
      <w:tblPr>
        <w:tblStyle w:val="8"/>
        <w:tblW w:w="851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953"/>
        <w:gridCol w:w="1306"/>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8" w:hRule="atLeast"/>
          <w:jc w:val="center"/>
        </w:trPr>
        <w:tc>
          <w:tcPr>
            <w:tcW w:w="2130" w:type="dxa"/>
            <w:noWrap w:val="0"/>
            <w:vAlign w:val="top"/>
          </w:tcPr>
          <w:p>
            <w:pPr>
              <w:pStyle w:val="6"/>
              <w:adjustRightInd w:val="0"/>
              <w:snapToGrid w:val="0"/>
              <w:spacing w:line="240" w:lineRule="auto"/>
              <w:ind w:firstLine="0" w:firstLineChars="0"/>
              <w:jc w:val="left"/>
              <w:rPr>
                <w:rFonts w:ascii="宋体" w:hAnsi="宋体" w:cs="宋体"/>
                <w:b/>
                <w:bCs/>
                <w:szCs w:val="21"/>
              </w:rPr>
            </w:pPr>
            <w:r>
              <w:rPr>
                <w:rFonts w:hint="eastAsia" w:ascii="宋体" w:hAnsi="宋体" w:cs="宋体"/>
                <w:b/>
                <w:bCs/>
                <w:szCs w:val="21"/>
              </w:rPr>
              <w:t>名称</w:t>
            </w:r>
          </w:p>
        </w:tc>
        <w:tc>
          <w:tcPr>
            <w:tcW w:w="2953" w:type="dxa"/>
            <w:noWrap w:val="0"/>
            <w:vAlign w:val="top"/>
          </w:tcPr>
          <w:p>
            <w:pPr>
              <w:pStyle w:val="6"/>
              <w:adjustRightInd w:val="0"/>
              <w:snapToGrid w:val="0"/>
              <w:spacing w:line="240" w:lineRule="auto"/>
              <w:ind w:firstLine="0" w:firstLineChars="0"/>
              <w:jc w:val="left"/>
              <w:rPr>
                <w:rFonts w:ascii="宋体" w:hAnsi="宋体" w:cs="宋体"/>
                <w:b/>
                <w:bCs/>
                <w:szCs w:val="21"/>
              </w:rPr>
            </w:pPr>
            <w:r>
              <w:rPr>
                <w:rFonts w:hint="eastAsia" w:ascii="宋体" w:hAnsi="宋体" w:cs="宋体"/>
                <w:b/>
                <w:bCs/>
                <w:szCs w:val="21"/>
              </w:rPr>
              <w:t>内容</w:t>
            </w:r>
          </w:p>
        </w:tc>
        <w:tc>
          <w:tcPr>
            <w:tcW w:w="1306" w:type="dxa"/>
            <w:noWrap w:val="0"/>
            <w:vAlign w:val="top"/>
          </w:tcPr>
          <w:p>
            <w:pPr>
              <w:pStyle w:val="6"/>
              <w:adjustRightInd w:val="0"/>
              <w:snapToGrid w:val="0"/>
              <w:spacing w:line="240" w:lineRule="auto"/>
              <w:ind w:firstLine="0" w:firstLineChars="0"/>
              <w:jc w:val="left"/>
              <w:rPr>
                <w:rFonts w:hint="eastAsia" w:ascii="宋体" w:hAnsi="宋体" w:eastAsia="宋体" w:cs="宋体"/>
                <w:b/>
                <w:bCs/>
                <w:szCs w:val="21"/>
                <w:lang w:eastAsia="zh-CN"/>
              </w:rPr>
            </w:pPr>
            <w:r>
              <w:rPr>
                <w:rFonts w:hint="eastAsia" w:ascii="宋体" w:hAnsi="宋体" w:cs="宋体"/>
                <w:b/>
                <w:bCs/>
                <w:szCs w:val="21"/>
                <w:lang w:eastAsia="zh-CN"/>
              </w:rPr>
              <w:t>单位</w:t>
            </w:r>
          </w:p>
        </w:tc>
        <w:tc>
          <w:tcPr>
            <w:tcW w:w="2130" w:type="dxa"/>
            <w:noWrap w:val="0"/>
            <w:vAlign w:val="top"/>
          </w:tcPr>
          <w:p>
            <w:pPr>
              <w:pStyle w:val="6"/>
              <w:adjustRightInd w:val="0"/>
              <w:snapToGrid w:val="0"/>
              <w:spacing w:line="240" w:lineRule="auto"/>
              <w:ind w:firstLine="0" w:firstLineChars="0"/>
              <w:jc w:val="left"/>
              <w:rPr>
                <w:rFonts w:ascii="宋体" w:hAnsi="宋体" w:cs="宋体"/>
                <w:b/>
                <w:bCs/>
                <w:szCs w:val="21"/>
              </w:rPr>
            </w:pPr>
            <w:r>
              <w:rPr>
                <w:rFonts w:hint="eastAsia" w:ascii="宋体" w:hAnsi="宋体" w:cs="宋体"/>
                <w:b/>
                <w:bCs/>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6" w:hRule="atLeast"/>
          <w:jc w:val="center"/>
        </w:trPr>
        <w:tc>
          <w:tcPr>
            <w:tcW w:w="2130"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X86平台云主机服务-vCPU</w:t>
            </w:r>
          </w:p>
        </w:tc>
        <w:tc>
          <w:tcPr>
            <w:tcW w:w="2953"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主频不低于2.4GHz</w:t>
            </w:r>
          </w:p>
        </w:tc>
        <w:tc>
          <w:tcPr>
            <w:tcW w:w="1306" w:type="dxa"/>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CPU</w:t>
            </w:r>
          </w:p>
        </w:tc>
        <w:tc>
          <w:tcPr>
            <w:tcW w:w="2130" w:type="dxa"/>
            <w:noWrap w:val="0"/>
            <w:vAlign w:val="center"/>
          </w:tcPr>
          <w:p>
            <w:pPr>
              <w:keepNext w:val="0"/>
              <w:keepLines w:val="0"/>
              <w:widowControl/>
              <w:suppressLineNumbers w:val="0"/>
              <w:jc w:val="left"/>
              <w:textAlignment w:val="center"/>
              <w:rPr>
                <w:rFonts w:hint="eastAsia" w:ascii="宋体" w:hAnsi="宋体" w:eastAsia="宋体" w:cs="宋体"/>
                <w:b/>
                <w:bCs/>
                <w:szCs w:val="21"/>
                <w:lang w:val="en-US" w:eastAsia="zh-CN"/>
              </w:rPr>
            </w:pPr>
            <w:r>
              <w:rPr>
                <w:rFonts w:hint="eastAsia" w:ascii="宋体" w:hAnsi="宋体" w:eastAsia="宋体" w:cs="宋体"/>
                <w:i w:val="0"/>
                <w:color w:val="000000"/>
                <w:kern w:val="0"/>
                <w:sz w:val="21"/>
                <w:szCs w:val="21"/>
                <w:u w:val="none"/>
                <w:lang w:val="en-US" w:eastAsia="zh-CN" w:bidi="ar"/>
              </w:rPr>
              <w:t>15100</w:t>
            </w:r>
            <w:r>
              <w:rPr>
                <w:rFonts w:hint="eastAsia"/>
                <w:lang w:eastAsia="zh-CN"/>
              </w:rPr>
              <w:t>（服务期内）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 w:hRule="atLeast"/>
          <w:jc w:val="center"/>
        </w:trPr>
        <w:tc>
          <w:tcPr>
            <w:tcW w:w="2130"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X86平台云主机服务-内存</w:t>
            </w:r>
          </w:p>
        </w:tc>
        <w:tc>
          <w:tcPr>
            <w:tcW w:w="2953"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内存</w:t>
            </w:r>
          </w:p>
        </w:tc>
        <w:tc>
          <w:tcPr>
            <w:tcW w:w="1306" w:type="dxa"/>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GB</w:t>
            </w:r>
          </w:p>
        </w:tc>
        <w:tc>
          <w:tcPr>
            <w:tcW w:w="2130" w:type="dxa"/>
            <w:noWrap w:val="0"/>
            <w:vAlign w:val="center"/>
          </w:tcPr>
          <w:p>
            <w:pPr>
              <w:keepNext w:val="0"/>
              <w:keepLines w:val="0"/>
              <w:widowControl/>
              <w:suppressLineNumbers w:val="0"/>
              <w:jc w:val="left"/>
              <w:textAlignment w:val="center"/>
              <w:rPr>
                <w:rFonts w:hint="default" w:ascii="宋体" w:hAnsi="宋体" w:cs="宋体"/>
                <w:b/>
                <w:bCs/>
                <w:szCs w:val="21"/>
                <w:lang w:val="en-US"/>
              </w:rPr>
            </w:pPr>
            <w:r>
              <w:rPr>
                <w:rFonts w:hint="eastAsia" w:ascii="宋体" w:hAnsi="宋体" w:eastAsia="宋体" w:cs="宋体"/>
                <w:i w:val="0"/>
                <w:color w:val="000000"/>
                <w:kern w:val="0"/>
                <w:sz w:val="21"/>
                <w:szCs w:val="21"/>
                <w:u w:val="none"/>
                <w:lang w:val="en-US" w:eastAsia="zh-CN" w:bidi="ar"/>
              </w:rPr>
              <w:t>32080</w:t>
            </w:r>
            <w:r>
              <w:rPr>
                <w:rFonts w:hint="eastAsia"/>
                <w:lang w:eastAsia="zh-CN"/>
              </w:rPr>
              <w:t>（服务期内）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jc w:val="center"/>
        </w:trPr>
        <w:tc>
          <w:tcPr>
            <w:tcW w:w="2130"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普通性能存储</w:t>
            </w:r>
          </w:p>
        </w:tc>
        <w:tc>
          <w:tcPr>
            <w:tcW w:w="2953"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单盘技术指标：单盘IOPS 1000-3000</w:t>
            </w:r>
          </w:p>
        </w:tc>
        <w:tc>
          <w:tcPr>
            <w:tcW w:w="1306" w:type="dxa"/>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100GB</w:t>
            </w:r>
          </w:p>
        </w:tc>
        <w:tc>
          <w:tcPr>
            <w:tcW w:w="2130" w:type="dxa"/>
            <w:noWrap w:val="0"/>
            <w:vAlign w:val="center"/>
          </w:tcPr>
          <w:p>
            <w:pPr>
              <w:keepNext w:val="0"/>
              <w:keepLines w:val="0"/>
              <w:widowControl/>
              <w:suppressLineNumbers w:val="0"/>
              <w:jc w:val="left"/>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1730</w:t>
            </w:r>
            <w:r>
              <w:rPr>
                <w:rFonts w:hint="eastAsia"/>
                <w:lang w:eastAsia="zh-CN"/>
              </w:rPr>
              <w:t>（服务期内）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jc w:val="center"/>
        </w:trPr>
        <w:tc>
          <w:tcPr>
            <w:tcW w:w="2130"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高性能存储</w:t>
            </w:r>
          </w:p>
        </w:tc>
        <w:tc>
          <w:tcPr>
            <w:tcW w:w="2953"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单盘技术指标：单盘IOPS 3000-20000</w:t>
            </w:r>
          </w:p>
        </w:tc>
        <w:tc>
          <w:tcPr>
            <w:tcW w:w="1306" w:type="dxa"/>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100GB</w:t>
            </w:r>
          </w:p>
        </w:tc>
        <w:tc>
          <w:tcPr>
            <w:tcW w:w="2130" w:type="dxa"/>
            <w:noWrap w:val="0"/>
            <w:vAlign w:val="center"/>
          </w:tcPr>
          <w:p>
            <w:pPr>
              <w:keepNext w:val="0"/>
              <w:keepLines w:val="0"/>
              <w:widowControl/>
              <w:suppressLineNumbers w:val="0"/>
              <w:jc w:val="left"/>
              <w:textAlignment w:val="center"/>
              <w:rPr>
                <w:rFonts w:ascii="宋体" w:hAnsi="宋体" w:eastAsia="宋体" w:cs="宋体"/>
                <w:b/>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2054</w:t>
            </w:r>
            <w:r>
              <w:rPr>
                <w:rFonts w:hint="eastAsia"/>
                <w:lang w:eastAsia="zh-CN"/>
              </w:rPr>
              <w:t>（服务期内）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jc w:val="center"/>
        </w:trPr>
        <w:tc>
          <w:tcPr>
            <w:tcW w:w="2130"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静态存储</w:t>
            </w:r>
          </w:p>
        </w:tc>
        <w:tc>
          <w:tcPr>
            <w:tcW w:w="2953"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大容量、高可靠的数据存储服务，具备PB级线性扩展能力</w:t>
            </w:r>
          </w:p>
        </w:tc>
        <w:tc>
          <w:tcPr>
            <w:tcW w:w="1306" w:type="dxa"/>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TB</w:t>
            </w:r>
          </w:p>
        </w:tc>
        <w:tc>
          <w:tcPr>
            <w:tcW w:w="2130" w:type="dxa"/>
            <w:noWrap w:val="0"/>
            <w:vAlign w:val="center"/>
          </w:tcPr>
          <w:p>
            <w:pPr>
              <w:keepNext w:val="0"/>
              <w:keepLines w:val="0"/>
              <w:widowControl/>
              <w:suppressLineNumbers w:val="0"/>
              <w:jc w:val="left"/>
              <w:textAlignment w:val="center"/>
              <w:rPr>
                <w:rFonts w:ascii="宋体" w:hAnsi="宋体" w:eastAsia="宋体" w:cs="宋体"/>
                <w:b/>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227</w:t>
            </w:r>
            <w:r>
              <w:rPr>
                <w:rFonts w:hint="eastAsia"/>
                <w:lang w:eastAsia="zh-CN"/>
              </w:rPr>
              <w:t>（服务期内）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1" w:hRule="atLeast"/>
          <w:jc w:val="center"/>
        </w:trPr>
        <w:tc>
          <w:tcPr>
            <w:tcW w:w="2130"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本地备份服务</w:t>
            </w:r>
          </w:p>
        </w:tc>
        <w:tc>
          <w:tcPr>
            <w:tcW w:w="2953"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本地备份服务</w:t>
            </w:r>
          </w:p>
        </w:tc>
        <w:tc>
          <w:tcPr>
            <w:tcW w:w="1306" w:type="dxa"/>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100GB</w:t>
            </w:r>
          </w:p>
        </w:tc>
        <w:tc>
          <w:tcPr>
            <w:tcW w:w="2130" w:type="dxa"/>
            <w:noWrap w:val="0"/>
            <w:vAlign w:val="center"/>
          </w:tcPr>
          <w:p>
            <w:pPr>
              <w:keepNext w:val="0"/>
              <w:keepLines w:val="0"/>
              <w:widowControl/>
              <w:suppressLineNumbers w:val="0"/>
              <w:jc w:val="left"/>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2270</w:t>
            </w:r>
            <w:r>
              <w:rPr>
                <w:rFonts w:hint="eastAsia"/>
                <w:lang w:eastAsia="zh-CN"/>
              </w:rPr>
              <w:t>（服务期内）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 w:hRule="atLeast"/>
          <w:jc w:val="center"/>
        </w:trPr>
        <w:tc>
          <w:tcPr>
            <w:tcW w:w="2130"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链路服务1</w:t>
            </w:r>
          </w:p>
        </w:tc>
        <w:tc>
          <w:tcPr>
            <w:tcW w:w="2953"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互联网链路带宽</w:t>
            </w:r>
          </w:p>
        </w:tc>
        <w:tc>
          <w:tcPr>
            <w:tcW w:w="1306" w:type="dxa"/>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Mb</w:t>
            </w:r>
          </w:p>
        </w:tc>
        <w:tc>
          <w:tcPr>
            <w:tcW w:w="2130" w:type="dxa"/>
            <w:noWrap w:val="0"/>
            <w:vAlign w:val="center"/>
          </w:tcPr>
          <w:p>
            <w:pPr>
              <w:keepNext w:val="0"/>
              <w:keepLines w:val="0"/>
              <w:widowControl/>
              <w:suppressLineNumbers w:val="0"/>
              <w:jc w:val="left"/>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3000</w:t>
            </w:r>
            <w:r>
              <w:rPr>
                <w:rFonts w:hint="eastAsia"/>
                <w:lang w:eastAsia="zh-CN"/>
              </w:rPr>
              <w:t>（服务期内）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jc w:val="center"/>
        </w:trPr>
        <w:tc>
          <w:tcPr>
            <w:tcW w:w="2130"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链路服务2</w:t>
            </w:r>
          </w:p>
        </w:tc>
        <w:tc>
          <w:tcPr>
            <w:tcW w:w="2953"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互联网IP地址租用服务、并提供备案服务</w:t>
            </w:r>
          </w:p>
        </w:tc>
        <w:tc>
          <w:tcPr>
            <w:tcW w:w="1306" w:type="dxa"/>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IP</w:t>
            </w:r>
          </w:p>
        </w:tc>
        <w:tc>
          <w:tcPr>
            <w:tcW w:w="2130" w:type="dxa"/>
            <w:noWrap w:val="0"/>
            <w:vAlign w:val="center"/>
          </w:tcPr>
          <w:p>
            <w:pPr>
              <w:keepNext w:val="0"/>
              <w:keepLines w:val="0"/>
              <w:widowControl/>
              <w:suppressLineNumbers w:val="0"/>
              <w:jc w:val="left"/>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250</w:t>
            </w:r>
            <w:r>
              <w:rPr>
                <w:rFonts w:hint="eastAsia"/>
                <w:lang w:eastAsia="zh-CN"/>
              </w:rPr>
              <w:t>（服务期内）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 w:hRule="atLeast"/>
          <w:jc w:val="center"/>
        </w:trPr>
        <w:tc>
          <w:tcPr>
            <w:tcW w:w="2130"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主机负载均衡服务</w:t>
            </w:r>
          </w:p>
        </w:tc>
        <w:tc>
          <w:tcPr>
            <w:tcW w:w="2953"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主机负载均衡服务</w:t>
            </w:r>
          </w:p>
        </w:tc>
        <w:tc>
          <w:tcPr>
            <w:tcW w:w="1306" w:type="dxa"/>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IP</w:t>
            </w:r>
          </w:p>
        </w:tc>
        <w:tc>
          <w:tcPr>
            <w:tcW w:w="2130" w:type="dxa"/>
            <w:noWrap w:val="0"/>
            <w:vAlign w:val="center"/>
          </w:tcPr>
          <w:p>
            <w:pPr>
              <w:keepNext w:val="0"/>
              <w:keepLines w:val="0"/>
              <w:widowControl/>
              <w:suppressLineNumbers w:val="0"/>
              <w:jc w:val="left"/>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380</w:t>
            </w:r>
            <w:r>
              <w:rPr>
                <w:rFonts w:hint="eastAsia"/>
                <w:lang w:eastAsia="zh-CN"/>
              </w:rPr>
              <w:t>（服务期内）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7" w:hRule="atLeast"/>
          <w:jc w:val="center"/>
        </w:trPr>
        <w:tc>
          <w:tcPr>
            <w:tcW w:w="2130"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远程接入服务</w:t>
            </w:r>
          </w:p>
        </w:tc>
        <w:tc>
          <w:tcPr>
            <w:tcW w:w="2953"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远程接入运维，每个账号结合身份验证，通过VPN远程接入堡垒机进行维护</w:t>
            </w:r>
          </w:p>
        </w:tc>
        <w:tc>
          <w:tcPr>
            <w:tcW w:w="1306"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账号</w:t>
            </w:r>
          </w:p>
        </w:tc>
        <w:tc>
          <w:tcPr>
            <w:tcW w:w="2130" w:type="dxa"/>
            <w:noWrap w:val="0"/>
            <w:vAlign w:val="center"/>
          </w:tcPr>
          <w:p>
            <w:pPr>
              <w:keepNext w:val="0"/>
              <w:keepLines w:val="0"/>
              <w:widowControl/>
              <w:suppressLineNumbers w:val="0"/>
              <w:jc w:val="left"/>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200</w:t>
            </w:r>
            <w:r>
              <w:rPr>
                <w:rFonts w:hint="eastAsia"/>
                <w:lang w:eastAsia="zh-CN"/>
              </w:rPr>
              <w:t>（服务期内）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5" w:hRule="atLeast"/>
          <w:jc w:val="center"/>
        </w:trPr>
        <w:tc>
          <w:tcPr>
            <w:tcW w:w="2130"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WAF防护</w:t>
            </w:r>
          </w:p>
        </w:tc>
        <w:tc>
          <w:tcPr>
            <w:tcW w:w="2953" w:type="dxa"/>
            <w:noWrap w:val="0"/>
            <w:vAlign w:val="center"/>
          </w:tcPr>
          <w:p>
            <w:pPr>
              <w:keepNext w:val="0"/>
              <w:keepLines w:val="0"/>
              <w:widowControl/>
              <w:suppressLineNumbers w:val="0"/>
              <w:jc w:val="left"/>
              <w:textAlignment w:val="center"/>
              <w:rPr>
                <w:rFonts w:ascii="宋体" w:hAnsi="宋体" w:cs="宋体"/>
                <w:b/>
                <w:bCs/>
                <w:szCs w:val="21"/>
              </w:rPr>
            </w:pPr>
            <w:r>
              <w:rPr>
                <w:rFonts w:hint="eastAsia" w:ascii="宋体" w:hAnsi="宋体" w:eastAsia="宋体" w:cs="宋体"/>
                <w:i w:val="0"/>
                <w:color w:val="000000"/>
                <w:kern w:val="0"/>
                <w:sz w:val="21"/>
                <w:szCs w:val="21"/>
                <w:u w:val="none"/>
                <w:lang w:val="en-US" w:eastAsia="zh-CN" w:bidi="ar"/>
              </w:rPr>
              <w:t>web应用防火墙服务</w:t>
            </w:r>
          </w:p>
        </w:tc>
        <w:tc>
          <w:tcPr>
            <w:tcW w:w="1306" w:type="dxa"/>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IP</w:t>
            </w:r>
          </w:p>
        </w:tc>
        <w:tc>
          <w:tcPr>
            <w:tcW w:w="2130" w:type="dxa"/>
            <w:noWrap w:val="0"/>
            <w:vAlign w:val="center"/>
          </w:tcPr>
          <w:p>
            <w:pPr>
              <w:keepNext w:val="0"/>
              <w:keepLines w:val="0"/>
              <w:widowControl/>
              <w:suppressLineNumbers w:val="0"/>
              <w:jc w:val="left"/>
              <w:textAlignment w:val="center"/>
              <w:rPr>
                <w:rFonts w:hint="default" w:ascii="宋体" w:hAnsi="宋体" w:eastAsia="宋体" w:cs="宋体"/>
                <w:b/>
                <w:b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60</w:t>
            </w:r>
            <w:r>
              <w:rPr>
                <w:rFonts w:hint="eastAsia"/>
                <w:lang w:eastAsia="zh-CN"/>
              </w:rPr>
              <w:t>（服务期内）</w:t>
            </w:r>
          </w:p>
        </w:tc>
      </w:tr>
    </w:tbl>
    <w:p>
      <w:pPr>
        <w:spacing w:line="360" w:lineRule="auto"/>
        <w:contextualSpacing/>
        <w:rPr>
          <w:bCs/>
          <w:sz w:val="24"/>
        </w:rPr>
      </w:pPr>
    </w:p>
    <w:p>
      <w:pPr>
        <w:spacing w:line="360" w:lineRule="auto"/>
        <w:contextualSpacing/>
        <w:outlineLvl w:val="1"/>
        <w:rPr>
          <w:bCs/>
          <w:sz w:val="24"/>
        </w:rPr>
      </w:pPr>
      <w:r>
        <w:rPr>
          <w:bCs/>
          <w:sz w:val="24"/>
        </w:rPr>
        <w:t>2. 项目背景/项目概述</w:t>
      </w:r>
    </w:p>
    <w:p>
      <w:pPr>
        <w:spacing w:line="360" w:lineRule="auto"/>
        <w:ind w:firstLine="420"/>
        <w:contextualSpacing/>
        <w:outlineLvl w:val="1"/>
        <w:rPr>
          <w:b w:val="0"/>
          <w:bCs/>
          <w:sz w:val="24"/>
        </w:rPr>
      </w:pPr>
      <w:r>
        <w:rPr>
          <w:rFonts w:hint="default" w:ascii="Calibri" w:hAnsi="Calibri" w:eastAsia="宋体" w:cs="Times New Roman"/>
          <w:bCs/>
          <w:sz w:val="24"/>
          <w:szCs w:val="24"/>
          <w:highlight w:val="none"/>
        </w:rPr>
        <w:t>租用</w:t>
      </w:r>
      <w:r>
        <w:rPr>
          <w:rFonts w:hint="default" w:ascii="Calibri" w:hAnsi="Calibri" w:eastAsia="宋体" w:cs="Times New Roman"/>
          <w:bCs/>
          <w:sz w:val="24"/>
          <w:szCs w:val="24"/>
          <w:highlight w:val="none"/>
          <w:lang w:eastAsia="zh-CN"/>
        </w:rPr>
        <w:t>云平台</w:t>
      </w:r>
      <w:r>
        <w:rPr>
          <w:rFonts w:hint="default" w:ascii="Calibri" w:hAnsi="Calibri" w:eastAsia="宋体" w:cs="Times New Roman"/>
          <w:bCs/>
          <w:sz w:val="24"/>
          <w:szCs w:val="24"/>
          <w:highlight w:val="none"/>
        </w:rPr>
        <w:t>计算服务、存储服务、网络服务，</w:t>
      </w:r>
      <w:r>
        <w:rPr>
          <w:rFonts w:hint="default" w:ascii="Calibri" w:hAnsi="Calibri" w:eastAsia="宋体" w:cs="Times New Roman"/>
          <w:bCs/>
          <w:sz w:val="24"/>
          <w:szCs w:val="24"/>
          <w:highlight w:val="none"/>
          <w:lang w:val="en-US" w:eastAsia="zh-CN"/>
        </w:rPr>
        <w:t>waf防护服务</w:t>
      </w:r>
      <w:r>
        <w:rPr>
          <w:rFonts w:hint="default" w:ascii="Calibri" w:hAnsi="Calibri" w:eastAsia="宋体" w:cs="Times New Roman"/>
          <w:bCs/>
          <w:sz w:val="24"/>
          <w:szCs w:val="24"/>
          <w:highlight w:val="none"/>
          <w:lang w:eastAsia="zh-CN"/>
        </w:rPr>
        <w:t>，通过合理的云资源服务分配</w:t>
      </w:r>
      <w:r>
        <w:rPr>
          <w:rFonts w:hint="default" w:ascii="Calibri" w:hAnsi="Calibri" w:eastAsia="宋体" w:cs="Times New Roman"/>
          <w:bCs/>
          <w:sz w:val="24"/>
          <w:szCs w:val="24"/>
          <w:highlight w:val="none"/>
          <w:lang w:val="en"/>
        </w:rPr>
        <w:t>保障市委组织部相关</w:t>
      </w:r>
      <w:r>
        <w:rPr>
          <w:rFonts w:hint="default" w:ascii="Calibri" w:hAnsi="Calibri" w:eastAsia="宋体" w:cs="Times New Roman"/>
          <w:bCs/>
          <w:sz w:val="24"/>
          <w:szCs w:val="24"/>
          <w:highlight w:val="none"/>
        </w:rPr>
        <w:t>系统在</w:t>
      </w:r>
      <w:r>
        <w:rPr>
          <w:rFonts w:hint="default" w:ascii="Calibri" w:hAnsi="Calibri" w:eastAsia="宋体" w:cs="Times New Roman"/>
          <w:bCs/>
          <w:sz w:val="24"/>
          <w:szCs w:val="24"/>
          <w:highlight w:val="none"/>
          <w:lang w:val="en-US" w:eastAsia="zh-CN"/>
        </w:rPr>
        <w:t>政务</w:t>
      </w:r>
      <w:r>
        <w:rPr>
          <w:rFonts w:hint="default" w:ascii="Calibri" w:hAnsi="Calibri" w:eastAsia="宋体" w:cs="Times New Roman"/>
          <w:bCs/>
          <w:sz w:val="24"/>
          <w:szCs w:val="24"/>
          <w:highlight w:val="none"/>
        </w:rPr>
        <w:t>云</w:t>
      </w:r>
      <w:r>
        <w:rPr>
          <w:rFonts w:hint="default" w:ascii="Calibri" w:hAnsi="Calibri" w:eastAsia="宋体" w:cs="Times New Roman"/>
          <w:bCs/>
          <w:sz w:val="24"/>
          <w:szCs w:val="24"/>
          <w:highlight w:val="none"/>
          <w:lang w:val="en-US" w:eastAsia="zh-CN"/>
        </w:rPr>
        <w:t>平台安全</w:t>
      </w:r>
      <w:r>
        <w:rPr>
          <w:rFonts w:hint="default" w:ascii="Calibri" w:hAnsi="Calibri" w:eastAsia="宋体" w:cs="Times New Roman"/>
          <w:bCs/>
          <w:sz w:val="24"/>
          <w:szCs w:val="24"/>
          <w:highlight w:val="none"/>
        </w:rPr>
        <w:t>稳定运行。</w:t>
      </w:r>
    </w:p>
    <w:p>
      <w:pPr>
        <w:pStyle w:val="10"/>
        <w:numPr>
          <w:ilvl w:val="0"/>
          <w:numId w:val="1"/>
        </w:numPr>
        <w:spacing w:line="360" w:lineRule="auto"/>
        <w:ind w:firstLineChars="0"/>
        <w:contextualSpacing/>
        <w:outlineLvl w:val="0"/>
        <w:rPr>
          <w:rFonts w:ascii="Times New Roman" w:hAnsi="Times New Roman"/>
          <w:b/>
          <w:sz w:val="24"/>
          <w:szCs w:val="24"/>
        </w:rPr>
      </w:pPr>
      <w:r>
        <w:rPr>
          <w:rFonts w:ascii="Times New Roman" w:hAnsi="Times New Roman"/>
          <w:b/>
          <w:sz w:val="24"/>
          <w:szCs w:val="24"/>
        </w:rPr>
        <w:t>商务要求</w:t>
      </w:r>
    </w:p>
    <w:p>
      <w:pPr>
        <w:spacing w:line="360" w:lineRule="auto"/>
        <w:contextualSpacing/>
        <w:rPr>
          <w:i/>
          <w:sz w:val="24"/>
        </w:rPr>
      </w:pPr>
      <w:r>
        <w:rPr>
          <w:sz w:val="24"/>
        </w:rPr>
        <w:t>1. 交付（实施）的时间（期限）和地点（范围）</w:t>
      </w:r>
    </w:p>
    <w:p>
      <w:pPr>
        <w:spacing w:line="360" w:lineRule="auto"/>
        <w:contextualSpacing/>
        <w:rPr>
          <w:rFonts w:hint="eastAsia"/>
          <w:sz w:val="24"/>
          <w:lang w:val="en-US" w:eastAsia="zh-CN"/>
        </w:rPr>
      </w:pPr>
      <w:r>
        <w:rPr>
          <w:rFonts w:hint="eastAsia"/>
          <w:sz w:val="24"/>
          <w:lang w:val="en-US" w:eastAsia="zh-CN"/>
        </w:rPr>
        <w:t xml:space="preserve">时间：自 2026 年 3 月 12 日 起至2026年12月31日 完成本项目全部工作内容 </w:t>
      </w:r>
    </w:p>
    <w:p>
      <w:pPr>
        <w:spacing w:line="360" w:lineRule="auto"/>
        <w:contextualSpacing/>
        <w:rPr>
          <w:rFonts w:hint="eastAsia"/>
          <w:sz w:val="24"/>
          <w:lang w:val="en-US" w:eastAsia="zh-CN"/>
        </w:rPr>
      </w:pPr>
      <w:r>
        <w:rPr>
          <w:rFonts w:hint="eastAsia"/>
          <w:sz w:val="24"/>
          <w:lang w:val="en-US" w:eastAsia="zh-CN"/>
        </w:rPr>
        <w:t>地点：甲方指定地点</w:t>
      </w:r>
    </w:p>
    <w:p>
      <w:pPr>
        <w:spacing w:line="360" w:lineRule="auto"/>
        <w:contextualSpacing/>
        <w:rPr>
          <w:sz w:val="24"/>
        </w:rPr>
      </w:pPr>
      <w:r>
        <w:rPr>
          <w:sz w:val="24"/>
        </w:rPr>
        <w:t>2. 付款条件（进度和方式）</w:t>
      </w:r>
    </w:p>
    <w:p>
      <w:pPr>
        <w:spacing w:line="360" w:lineRule="auto"/>
        <w:contextualSpacing/>
        <w:rPr>
          <w:rFonts w:hint="eastAsia"/>
          <w:sz w:val="24"/>
          <w:lang w:eastAsia="zh-CN"/>
        </w:rPr>
      </w:pPr>
      <w:r>
        <w:rPr>
          <w:rFonts w:hint="eastAsia"/>
          <w:sz w:val="24"/>
          <w:lang w:eastAsia="zh-CN"/>
        </w:rPr>
        <w:t>采购人将按照分期支付的方式向中标人支付服务费：双方</w:t>
      </w:r>
      <w:r>
        <w:rPr>
          <w:rFonts w:hint="eastAsia"/>
          <w:sz w:val="24"/>
        </w:rPr>
        <w:t>在签署本合同之日起三十个工作日内，</w:t>
      </w:r>
      <w:r>
        <w:rPr>
          <w:rFonts w:hint="eastAsia"/>
          <w:sz w:val="24"/>
          <w:lang w:eastAsia="zh-CN"/>
        </w:rPr>
        <w:t>采购人</w:t>
      </w:r>
      <w:r>
        <w:rPr>
          <w:rFonts w:hint="eastAsia"/>
          <w:sz w:val="24"/>
        </w:rPr>
        <w:t>向</w:t>
      </w:r>
      <w:r>
        <w:rPr>
          <w:rFonts w:hint="eastAsia"/>
          <w:sz w:val="24"/>
          <w:lang w:eastAsia="zh-CN"/>
        </w:rPr>
        <w:t>中标人</w:t>
      </w:r>
      <w:r>
        <w:rPr>
          <w:rFonts w:hint="eastAsia"/>
          <w:sz w:val="24"/>
        </w:rPr>
        <w:t>支付合同金额的 5</w:t>
      </w:r>
      <w:r>
        <w:rPr>
          <w:sz w:val="24"/>
        </w:rPr>
        <w:t>0</w:t>
      </w:r>
      <w:r>
        <w:rPr>
          <w:rFonts w:hint="eastAsia"/>
          <w:sz w:val="24"/>
        </w:rPr>
        <w:t xml:space="preserve"> </w:t>
      </w:r>
      <w:r>
        <w:rPr>
          <w:sz w:val="24"/>
        </w:rPr>
        <w:t>%</w:t>
      </w:r>
      <w:r>
        <w:rPr>
          <w:rFonts w:hint="eastAsia"/>
          <w:sz w:val="24"/>
          <w:lang w:eastAsia="zh-CN"/>
        </w:rPr>
        <w:t>；中标人</w:t>
      </w:r>
      <w:r>
        <w:rPr>
          <w:rFonts w:hint="eastAsia"/>
          <w:sz w:val="24"/>
        </w:rPr>
        <w:t>在经</w:t>
      </w:r>
      <w:r>
        <w:rPr>
          <w:rFonts w:hint="eastAsia"/>
          <w:sz w:val="24"/>
          <w:lang w:eastAsia="zh-CN"/>
        </w:rPr>
        <w:t>采购人</w:t>
      </w:r>
      <w:r>
        <w:rPr>
          <w:rFonts w:hint="eastAsia"/>
          <w:sz w:val="24"/>
        </w:rPr>
        <w:t>中期验收合格之日起十个工作日内，</w:t>
      </w:r>
      <w:r>
        <w:rPr>
          <w:rFonts w:hint="eastAsia"/>
          <w:sz w:val="24"/>
          <w:lang w:eastAsia="zh-CN"/>
        </w:rPr>
        <w:t>采购人</w:t>
      </w:r>
      <w:r>
        <w:rPr>
          <w:rFonts w:hint="eastAsia"/>
          <w:sz w:val="24"/>
        </w:rPr>
        <w:t>向</w:t>
      </w:r>
      <w:r>
        <w:rPr>
          <w:rFonts w:hint="eastAsia"/>
          <w:sz w:val="24"/>
          <w:lang w:eastAsia="zh-CN"/>
        </w:rPr>
        <w:t>中标人</w:t>
      </w:r>
      <w:r>
        <w:rPr>
          <w:rFonts w:hint="eastAsia"/>
          <w:sz w:val="24"/>
        </w:rPr>
        <w:t xml:space="preserve">支付合同金额的 30 </w:t>
      </w:r>
      <w:r>
        <w:rPr>
          <w:sz w:val="24"/>
        </w:rPr>
        <w:t>%</w:t>
      </w:r>
      <w:r>
        <w:rPr>
          <w:rFonts w:hint="eastAsia"/>
          <w:sz w:val="24"/>
          <w:lang w:eastAsia="zh-CN"/>
        </w:rPr>
        <w:t>；中标人</w:t>
      </w:r>
      <w:r>
        <w:rPr>
          <w:rFonts w:hint="eastAsia"/>
          <w:sz w:val="24"/>
        </w:rPr>
        <w:t>提供本合同项下的全部服务并经</w:t>
      </w:r>
      <w:r>
        <w:rPr>
          <w:rFonts w:hint="eastAsia"/>
          <w:sz w:val="24"/>
          <w:lang w:eastAsia="zh-CN"/>
        </w:rPr>
        <w:t>采购人终期验收</w:t>
      </w:r>
      <w:r>
        <w:rPr>
          <w:rFonts w:hint="eastAsia"/>
          <w:sz w:val="24"/>
        </w:rPr>
        <w:t>合格之日起十个工作日内，</w:t>
      </w:r>
      <w:r>
        <w:rPr>
          <w:rFonts w:hint="eastAsia"/>
          <w:sz w:val="24"/>
          <w:lang w:eastAsia="zh-CN"/>
        </w:rPr>
        <w:t>采购人</w:t>
      </w:r>
      <w:r>
        <w:rPr>
          <w:rFonts w:hint="eastAsia"/>
          <w:sz w:val="24"/>
        </w:rPr>
        <w:t>向</w:t>
      </w:r>
      <w:r>
        <w:rPr>
          <w:rFonts w:hint="eastAsia"/>
          <w:sz w:val="24"/>
          <w:lang w:eastAsia="zh-CN"/>
        </w:rPr>
        <w:t>中标人</w:t>
      </w:r>
      <w:r>
        <w:rPr>
          <w:rFonts w:hint="eastAsia"/>
          <w:sz w:val="24"/>
        </w:rPr>
        <w:t xml:space="preserve">支付合同金额的 </w:t>
      </w:r>
      <w:r>
        <w:rPr>
          <w:sz w:val="24"/>
        </w:rPr>
        <w:t>2</w:t>
      </w:r>
      <w:r>
        <w:rPr>
          <w:rFonts w:hint="eastAsia"/>
          <w:sz w:val="24"/>
        </w:rPr>
        <w:t xml:space="preserve">0 </w:t>
      </w:r>
      <w:r>
        <w:rPr>
          <w:sz w:val="24"/>
        </w:rPr>
        <w:t>%</w:t>
      </w:r>
      <w:r>
        <w:rPr>
          <w:rFonts w:hint="eastAsia"/>
          <w:sz w:val="24"/>
          <w:lang w:eastAsia="zh-CN"/>
        </w:rPr>
        <w:t>。</w:t>
      </w:r>
    </w:p>
    <w:p>
      <w:pPr>
        <w:spacing w:line="360" w:lineRule="auto"/>
        <w:contextualSpacing/>
        <w:rPr>
          <w:b/>
          <w:i/>
          <w:sz w:val="24"/>
        </w:rPr>
      </w:pPr>
    </w:p>
    <w:p>
      <w:pPr>
        <w:pStyle w:val="10"/>
        <w:numPr>
          <w:ilvl w:val="0"/>
          <w:numId w:val="1"/>
        </w:numPr>
        <w:spacing w:line="360" w:lineRule="auto"/>
        <w:ind w:firstLineChars="0"/>
        <w:contextualSpacing/>
        <w:outlineLvl w:val="0"/>
        <w:rPr>
          <w:rFonts w:ascii="Times New Roman" w:hAnsi="Times New Roman"/>
          <w:b/>
          <w:sz w:val="24"/>
          <w:szCs w:val="24"/>
        </w:rPr>
      </w:pPr>
      <w:r>
        <w:rPr>
          <w:rFonts w:ascii="Times New Roman" w:hAnsi="Times New Roman"/>
          <w:b/>
          <w:sz w:val="24"/>
          <w:szCs w:val="24"/>
        </w:rPr>
        <w:t>技术要求</w:t>
      </w:r>
    </w:p>
    <w:p>
      <w:pPr>
        <w:spacing w:line="360" w:lineRule="auto"/>
        <w:contextualSpacing/>
        <w:outlineLvl w:val="1"/>
        <w:rPr>
          <w:sz w:val="24"/>
        </w:rPr>
      </w:pPr>
      <w:r>
        <w:rPr>
          <w:sz w:val="24"/>
        </w:rPr>
        <w:t>1. 基本要求</w:t>
      </w:r>
    </w:p>
    <w:p>
      <w:pPr>
        <w:spacing w:line="360" w:lineRule="auto"/>
        <w:ind w:firstLine="480" w:firstLineChars="200"/>
        <w:contextualSpacing/>
        <w:rPr>
          <w:sz w:val="24"/>
        </w:rPr>
      </w:pPr>
      <w:r>
        <w:rPr>
          <w:sz w:val="24"/>
        </w:rPr>
        <w:t>1.1 采购标的需实现的功能或者目标</w:t>
      </w:r>
    </w:p>
    <w:p>
      <w:pPr>
        <w:spacing w:line="360" w:lineRule="auto"/>
        <w:ind w:firstLine="480" w:firstLineChars="200"/>
        <w:contextualSpacing/>
        <w:rPr>
          <w:sz w:val="24"/>
        </w:rPr>
      </w:pPr>
      <w:r>
        <w:rPr>
          <w:rFonts w:hint="eastAsia"/>
          <w:sz w:val="24"/>
        </w:rPr>
        <w:t>提供政务云基础环境日常维护、应急响应等工作，云资源7*24正常供应，做好重大活动和节假日应急值守保障服务，确保各系统在政务云环境中稳定运行。</w:t>
      </w:r>
    </w:p>
    <w:p>
      <w:pPr>
        <w:pStyle w:val="6"/>
        <w:ind w:firstLine="480"/>
      </w:pPr>
    </w:p>
    <w:p>
      <w:pPr>
        <w:widowControl/>
        <w:spacing w:line="360" w:lineRule="auto"/>
        <w:ind w:firstLine="480" w:firstLineChars="200"/>
        <w:contextualSpacing/>
        <w:rPr>
          <w:sz w:val="24"/>
        </w:rPr>
      </w:pPr>
      <w:r>
        <w:rPr>
          <w:sz w:val="24"/>
        </w:rPr>
        <w:t>1.2 需执行的国家相关标准、行业标准、地方标准或者其他标准、规范</w:t>
      </w:r>
    </w:p>
    <w:p>
      <w:pPr>
        <w:spacing w:line="360" w:lineRule="auto"/>
        <w:ind w:firstLine="480" w:firstLineChars="200"/>
        <w:contextualSpacing/>
        <w:rPr>
          <w:rFonts w:hint="eastAsia"/>
          <w:sz w:val="24"/>
        </w:rPr>
      </w:pPr>
      <w:r>
        <w:rPr>
          <w:rFonts w:hint="eastAsia"/>
          <w:sz w:val="24"/>
        </w:rPr>
        <w:t>《关于印发&lt;北京市政务云管理办法&gt;的通知》(京经信函[2019]150号)</w:t>
      </w:r>
    </w:p>
    <w:p>
      <w:pPr>
        <w:spacing w:line="360" w:lineRule="auto"/>
        <w:ind w:firstLine="480" w:firstLineChars="200"/>
        <w:contextualSpacing/>
        <w:rPr>
          <w:rFonts w:hint="eastAsia"/>
          <w:sz w:val="24"/>
        </w:rPr>
      </w:pPr>
      <w:r>
        <w:rPr>
          <w:rFonts w:hint="eastAsia"/>
          <w:sz w:val="24"/>
        </w:rPr>
        <w:t>《北京市政务云安全技术规范 IaaS云计算平台分册》</w:t>
      </w:r>
    </w:p>
    <w:p>
      <w:pPr>
        <w:spacing w:line="360" w:lineRule="auto"/>
        <w:ind w:firstLine="480" w:firstLineChars="200"/>
        <w:contextualSpacing/>
        <w:rPr>
          <w:rFonts w:hint="eastAsia"/>
          <w:sz w:val="24"/>
        </w:rPr>
      </w:pPr>
    </w:p>
    <w:p>
      <w:pPr>
        <w:spacing w:line="360" w:lineRule="auto"/>
        <w:contextualSpacing/>
        <w:outlineLvl w:val="1"/>
        <w:rPr>
          <w:sz w:val="24"/>
        </w:rPr>
      </w:pPr>
      <w:r>
        <w:rPr>
          <w:sz w:val="24"/>
        </w:rPr>
        <w:t>2. 服务内容及要求/货物技术要求</w:t>
      </w:r>
    </w:p>
    <w:p>
      <w:pPr>
        <w:widowControl/>
        <w:spacing w:line="360" w:lineRule="auto"/>
        <w:ind w:firstLine="480" w:firstLineChars="200"/>
        <w:contextualSpacing/>
        <w:rPr>
          <w:sz w:val="24"/>
        </w:rPr>
      </w:pPr>
      <w:r>
        <w:rPr>
          <w:sz w:val="24"/>
        </w:rPr>
        <w:t>2.1采购标的需满足的服务标准、期限、效率等要求</w:t>
      </w:r>
    </w:p>
    <w:p>
      <w:pPr>
        <w:widowControl/>
        <w:spacing w:line="360" w:lineRule="auto"/>
        <w:ind w:firstLine="480" w:firstLineChars="200"/>
        <w:contextualSpacing/>
        <w:rPr>
          <w:sz w:val="24"/>
        </w:rPr>
      </w:pPr>
      <w:r>
        <w:rPr>
          <w:rFonts w:hint="eastAsia"/>
          <w:sz w:val="24"/>
        </w:rPr>
        <w:t>（1）X86平台云主机服务技术要求</w:t>
      </w:r>
    </w:p>
    <w:tbl>
      <w:tblPr>
        <w:tblStyle w:val="7"/>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2" w:type="dxa"/>
            <w:noWrap/>
            <w:vAlign w:val="center"/>
          </w:tcPr>
          <w:p>
            <w:pPr>
              <w:jc w:val="center"/>
              <w:rPr>
                <w:rFonts w:ascii="宋体" w:hAnsi="宋体" w:cs="仿宋_GB2312"/>
                <w:szCs w:val="21"/>
              </w:rPr>
            </w:pPr>
            <w:r>
              <w:rPr>
                <w:rFonts w:hint="eastAsia" w:ascii="宋体" w:hAnsi="宋体" w:cs="仿宋_GB2312"/>
                <w:szCs w:val="21"/>
              </w:rPr>
              <w:t>指标项</w:t>
            </w:r>
          </w:p>
        </w:tc>
        <w:tc>
          <w:tcPr>
            <w:tcW w:w="7913" w:type="dxa"/>
            <w:noWrap/>
            <w:vAlign w:val="center"/>
          </w:tcPr>
          <w:p>
            <w:pPr>
              <w:jc w:val="center"/>
              <w:rPr>
                <w:rFonts w:ascii="宋体" w:hAnsi="宋体" w:cs="仿宋_GB2312"/>
                <w:szCs w:val="21"/>
              </w:rPr>
            </w:pPr>
            <w:r>
              <w:rPr>
                <w:rFonts w:hint="eastAsia" w:ascii="宋体" w:hAnsi="宋体" w:cs="仿宋_GB2312"/>
                <w:szCs w:val="21"/>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372" w:type="dxa"/>
            <w:vMerge w:val="restart"/>
            <w:noWrap/>
            <w:vAlign w:val="center"/>
          </w:tcPr>
          <w:p>
            <w:pPr>
              <w:widowControl/>
              <w:rPr>
                <w:rFonts w:ascii="宋体" w:hAnsi="宋体" w:cs="仿宋_GB2312"/>
                <w:szCs w:val="21"/>
              </w:rPr>
            </w:pPr>
            <w:r>
              <w:rPr>
                <w:rFonts w:hint="eastAsia" w:ascii="宋体" w:hAnsi="宋体" w:cs="仿宋_GB2312"/>
                <w:szCs w:val="21"/>
              </w:rPr>
              <w:t>基本需求</w:t>
            </w:r>
          </w:p>
        </w:tc>
        <w:tc>
          <w:tcPr>
            <w:tcW w:w="7913" w:type="dxa"/>
            <w:noWrap/>
            <w:vAlign w:val="top"/>
          </w:tcPr>
          <w:p>
            <w:pPr>
              <w:rPr>
                <w:rFonts w:ascii="宋体" w:hAnsi="宋体" w:cs="仿宋_GB2312"/>
                <w:szCs w:val="21"/>
              </w:rPr>
            </w:pPr>
            <w:r>
              <w:rPr>
                <w:rFonts w:hint="eastAsia" w:ascii="宋体" w:hAnsi="宋体" w:cs="仿宋_GB2312"/>
                <w:szCs w:val="21"/>
              </w:rPr>
              <w:t>云主机资源支持弹性调整，可弹提供性扩展CPU、内存及数据盘磁盘，实例可用性达99.99%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72" w:type="dxa"/>
            <w:vMerge w:val="continue"/>
            <w:noWrap/>
            <w:vAlign w:val="center"/>
          </w:tcPr>
          <w:p>
            <w:pPr>
              <w:widowControl/>
              <w:rPr>
                <w:rFonts w:ascii="宋体" w:hAnsi="宋体" w:cs="仿宋_GB2312"/>
                <w:szCs w:val="21"/>
              </w:rPr>
            </w:pPr>
          </w:p>
        </w:tc>
        <w:tc>
          <w:tcPr>
            <w:tcW w:w="7913" w:type="dxa"/>
            <w:noWrap/>
            <w:vAlign w:val="top"/>
          </w:tcPr>
          <w:p>
            <w:pPr>
              <w:rPr>
                <w:rFonts w:ascii="宋体" w:hAnsi="宋体" w:cs="仿宋_GB2312"/>
                <w:szCs w:val="21"/>
              </w:rPr>
            </w:pPr>
            <w:r>
              <w:rPr>
                <w:rFonts w:hint="eastAsia" w:ascii="宋体" w:hAnsi="宋体" w:cs="仿宋_GB2312"/>
                <w:szCs w:val="21"/>
              </w:rPr>
              <w:t>支持虚拟机的跨物理服务器的在线迁移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372" w:type="dxa"/>
            <w:vMerge w:val="continue"/>
            <w:noWrap/>
            <w:vAlign w:val="center"/>
          </w:tcPr>
          <w:p>
            <w:pPr>
              <w:widowControl/>
              <w:rPr>
                <w:rFonts w:ascii="宋体" w:hAnsi="宋体" w:cs="仿宋_GB2312"/>
                <w:szCs w:val="21"/>
              </w:rPr>
            </w:pPr>
          </w:p>
        </w:tc>
        <w:tc>
          <w:tcPr>
            <w:tcW w:w="7913" w:type="dxa"/>
            <w:noWrap/>
            <w:vAlign w:val="top"/>
          </w:tcPr>
          <w:p>
            <w:pPr>
              <w:rPr>
                <w:rFonts w:ascii="宋体" w:hAnsi="宋体" w:cs="仿宋_GB2312"/>
                <w:szCs w:val="21"/>
              </w:rPr>
            </w:pPr>
            <w:r>
              <w:rPr>
                <w:rFonts w:hint="eastAsia" w:ascii="宋体" w:hAnsi="宋体" w:cs="仿宋_GB2312"/>
                <w:szCs w:val="21"/>
              </w:rPr>
              <w:t>虚拟机支持秒级启动功能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72" w:type="dxa"/>
            <w:vMerge w:val="continue"/>
            <w:noWrap/>
            <w:vAlign w:val="center"/>
          </w:tcPr>
          <w:p>
            <w:pPr>
              <w:widowControl/>
              <w:rPr>
                <w:rFonts w:ascii="宋体" w:hAnsi="宋体" w:cs="仿宋_GB2312"/>
                <w:szCs w:val="21"/>
              </w:rPr>
            </w:pPr>
          </w:p>
        </w:tc>
        <w:tc>
          <w:tcPr>
            <w:tcW w:w="7913" w:type="dxa"/>
            <w:noWrap/>
            <w:vAlign w:val="top"/>
          </w:tcPr>
          <w:p>
            <w:pPr>
              <w:rPr>
                <w:rFonts w:ascii="宋体" w:hAnsi="宋体" w:cs="仿宋_GB2312"/>
                <w:szCs w:val="21"/>
              </w:rPr>
            </w:pPr>
            <w:r>
              <w:rPr>
                <w:rFonts w:hint="eastAsia" w:ascii="宋体" w:hAnsi="宋体" w:cs="仿宋_GB2312"/>
                <w:szCs w:val="21"/>
              </w:rPr>
              <w:t>支持用户自主制作镜像功能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372" w:type="dxa"/>
            <w:vMerge w:val="continue"/>
            <w:noWrap/>
            <w:vAlign w:val="center"/>
          </w:tcPr>
          <w:p>
            <w:pPr>
              <w:widowControl/>
              <w:rPr>
                <w:rFonts w:ascii="宋体" w:hAnsi="宋体" w:cs="仿宋_GB2312"/>
                <w:szCs w:val="21"/>
              </w:rPr>
            </w:pPr>
          </w:p>
        </w:tc>
        <w:tc>
          <w:tcPr>
            <w:tcW w:w="7913" w:type="dxa"/>
            <w:noWrap/>
            <w:vAlign w:val="top"/>
          </w:tcPr>
          <w:p>
            <w:pPr>
              <w:rPr>
                <w:rFonts w:ascii="宋体" w:hAnsi="宋体" w:cs="仿宋_GB2312"/>
                <w:szCs w:val="21"/>
              </w:rPr>
            </w:pPr>
            <w:r>
              <w:rPr>
                <w:rFonts w:hint="eastAsia" w:ascii="宋体" w:hAnsi="宋体" w:cs="仿宋_GB2312"/>
                <w:szCs w:val="21"/>
              </w:rPr>
              <w:t>支持用户自主访问、操作自服务平台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372" w:type="dxa"/>
            <w:vMerge w:val="continue"/>
            <w:noWrap/>
            <w:vAlign w:val="center"/>
          </w:tcPr>
          <w:p>
            <w:pPr>
              <w:widowControl/>
              <w:rPr>
                <w:rFonts w:ascii="宋体" w:hAnsi="宋体" w:cs="仿宋_GB2312"/>
                <w:szCs w:val="21"/>
              </w:rPr>
            </w:pPr>
          </w:p>
        </w:tc>
        <w:tc>
          <w:tcPr>
            <w:tcW w:w="7913" w:type="dxa"/>
            <w:noWrap/>
            <w:vAlign w:val="top"/>
          </w:tcPr>
          <w:p>
            <w:pPr>
              <w:rPr>
                <w:rFonts w:ascii="宋体" w:hAnsi="宋体" w:cs="仿宋_GB2312"/>
                <w:szCs w:val="21"/>
              </w:rPr>
            </w:pPr>
            <w:r>
              <w:rPr>
                <w:rFonts w:hint="eastAsia" w:ascii="宋体" w:hAnsi="宋体" w:cs="仿宋_GB2312"/>
                <w:szCs w:val="21"/>
              </w:rPr>
              <w:t>支持实时监控功能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372" w:type="dxa"/>
            <w:vMerge w:val="continue"/>
            <w:noWrap/>
            <w:vAlign w:val="center"/>
          </w:tcPr>
          <w:p>
            <w:pPr>
              <w:widowControl/>
              <w:rPr>
                <w:rFonts w:ascii="宋体" w:hAnsi="宋体" w:cs="仿宋_GB2312"/>
                <w:szCs w:val="21"/>
              </w:rPr>
            </w:pPr>
          </w:p>
        </w:tc>
        <w:tc>
          <w:tcPr>
            <w:tcW w:w="7913" w:type="dxa"/>
            <w:noWrap/>
            <w:vAlign w:val="top"/>
          </w:tcPr>
          <w:p>
            <w:pPr>
              <w:rPr>
                <w:rFonts w:ascii="宋体" w:hAnsi="宋体" w:cs="仿宋_GB2312"/>
                <w:szCs w:val="21"/>
              </w:rPr>
            </w:pPr>
            <w:r>
              <w:rPr>
                <w:rFonts w:hint="eastAsia" w:ascii="宋体" w:hAnsi="宋体" w:cs="仿宋_GB2312"/>
                <w:szCs w:val="21"/>
              </w:rPr>
              <w:t>支持windows server 2008  Datacenter x32 英文、windows server 2008 R2 Datacenter x64中文/英文、windows server 2012 R2 Datacenter x64中文/英文、centos x64、debian 8.2 x64、Fedora 20 x64、ubuntu  server x64等主流操作系统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72" w:type="dxa"/>
            <w:vMerge w:val="continue"/>
            <w:noWrap/>
            <w:vAlign w:val="center"/>
          </w:tcPr>
          <w:p>
            <w:pPr>
              <w:widowControl/>
              <w:rPr>
                <w:rFonts w:ascii="宋体" w:hAnsi="宋体" w:cs="仿宋_GB2312"/>
                <w:szCs w:val="21"/>
              </w:rPr>
            </w:pPr>
          </w:p>
        </w:tc>
        <w:tc>
          <w:tcPr>
            <w:tcW w:w="7913" w:type="dxa"/>
            <w:noWrap/>
            <w:vAlign w:val="top"/>
          </w:tcPr>
          <w:p>
            <w:pPr>
              <w:rPr>
                <w:rFonts w:ascii="宋体" w:hAnsi="宋体" w:cs="仿宋_GB2312"/>
                <w:szCs w:val="21"/>
              </w:rPr>
            </w:pPr>
            <w:r>
              <w:rPr>
                <w:rFonts w:hint="eastAsia" w:ascii="宋体" w:hAnsi="宋体" w:cs="仿宋_GB2312"/>
                <w:szCs w:val="21"/>
              </w:rPr>
              <w:t>支持云主机深度监控能力，在监控页面可以清晰展示云主机名称、IP信息及使用率信息等。</w:t>
            </w:r>
          </w:p>
        </w:tc>
      </w:tr>
    </w:tbl>
    <w:p>
      <w:pPr>
        <w:widowControl/>
        <w:spacing w:line="360" w:lineRule="auto"/>
        <w:ind w:firstLine="480" w:firstLineChars="200"/>
        <w:contextualSpacing/>
        <w:rPr>
          <w:sz w:val="24"/>
        </w:rPr>
      </w:pPr>
      <w:r>
        <w:rPr>
          <w:rFonts w:hint="eastAsia"/>
          <w:sz w:val="24"/>
        </w:rPr>
        <w:t>（2）云存储技术需求</w:t>
      </w:r>
    </w:p>
    <w:tbl>
      <w:tblPr>
        <w:tblStyle w:val="7"/>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7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41" w:type="dxa"/>
            <w:noWrap/>
            <w:vAlign w:val="center"/>
          </w:tcPr>
          <w:p>
            <w:pPr>
              <w:jc w:val="center"/>
              <w:rPr>
                <w:rFonts w:ascii="宋体" w:hAnsi="宋体" w:cs="仿宋_GB2312"/>
                <w:szCs w:val="21"/>
              </w:rPr>
            </w:pPr>
            <w:r>
              <w:rPr>
                <w:rFonts w:hint="eastAsia" w:ascii="宋体" w:hAnsi="宋体" w:cs="仿宋_GB2312"/>
                <w:szCs w:val="21"/>
              </w:rPr>
              <w:t>指标项</w:t>
            </w:r>
          </w:p>
        </w:tc>
        <w:tc>
          <w:tcPr>
            <w:tcW w:w="7844" w:type="dxa"/>
            <w:noWrap/>
            <w:vAlign w:val="center"/>
          </w:tcPr>
          <w:p>
            <w:pPr>
              <w:jc w:val="center"/>
              <w:rPr>
                <w:rFonts w:ascii="宋体" w:hAnsi="宋体" w:cs="仿宋_GB2312"/>
                <w:szCs w:val="21"/>
              </w:rPr>
            </w:pPr>
            <w:r>
              <w:rPr>
                <w:rFonts w:hint="eastAsia" w:ascii="宋体" w:hAnsi="宋体" w:cs="仿宋_GB2312"/>
                <w:szCs w:val="21"/>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41" w:type="dxa"/>
            <w:vMerge w:val="restart"/>
            <w:noWrap/>
            <w:vAlign w:val="center"/>
          </w:tcPr>
          <w:p>
            <w:pPr>
              <w:jc w:val="center"/>
              <w:rPr>
                <w:rFonts w:ascii="宋体" w:hAnsi="宋体" w:cs="仿宋_GB2312"/>
                <w:szCs w:val="21"/>
              </w:rPr>
            </w:pPr>
            <w:r>
              <w:rPr>
                <w:rFonts w:hint="eastAsia" w:ascii="宋体" w:hAnsi="宋体" w:cs="仿宋_GB2312"/>
                <w:szCs w:val="21"/>
              </w:rPr>
              <w:t>基本要求</w:t>
            </w:r>
          </w:p>
        </w:tc>
        <w:tc>
          <w:tcPr>
            <w:tcW w:w="7844" w:type="dxa"/>
            <w:noWrap/>
            <w:vAlign w:val="center"/>
          </w:tcPr>
          <w:p>
            <w:pPr>
              <w:rPr>
                <w:rFonts w:ascii="宋体" w:hAnsi="宋体" w:cs="仿宋_GB2312"/>
                <w:szCs w:val="21"/>
              </w:rPr>
            </w:pPr>
            <w:r>
              <w:rPr>
                <w:rFonts w:hint="eastAsia" w:ascii="宋体" w:hAnsi="宋体" w:cs="仿宋_GB2312"/>
                <w:szCs w:val="21"/>
              </w:rPr>
              <w:t>提供普通性能块存储服务：</w:t>
            </w:r>
            <w:r>
              <w:rPr>
                <w:rFonts w:hint="eastAsia" w:ascii="宋体" w:hAnsi="宋体"/>
                <w:kern w:val="0"/>
                <w:szCs w:val="21"/>
              </w:rPr>
              <w:t>单盘技术指标满足IOPS2000-5000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41" w:type="dxa"/>
            <w:vMerge w:val="continue"/>
            <w:noWrap/>
            <w:vAlign w:val="center"/>
          </w:tcPr>
          <w:p>
            <w:pPr>
              <w:widowControl/>
              <w:rPr>
                <w:rFonts w:ascii="宋体" w:hAnsi="宋体" w:cs="仿宋_GB2312"/>
                <w:szCs w:val="21"/>
              </w:rPr>
            </w:pPr>
          </w:p>
        </w:tc>
        <w:tc>
          <w:tcPr>
            <w:tcW w:w="7844" w:type="dxa"/>
            <w:noWrap/>
            <w:vAlign w:val="center"/>
          </w:tcPr>
          <w:p>
            <w:pPr>
              <w:rPr>
                <w:rFonts w:ascii="宋体" w:hAnsi="宋体" w:cs="仿宋_GB2312"/>
                <w:szCs w:val="21"/>
              </w:rPr>
            </w:pPr>
            <w:r>
              <w:rPr>
                <w:rFonts w:hint="eastAsia" w:ascii="宋体" w:hAnsi="宋体" w:cs="仿宋_GB2312"/>
                <w:szCs w:val="21"/>
              </w:rPr>
              <w:t>提供高性能块存储服务：</w:t>
            </w:r>
            <w:r>
              <w:rPr>
                <w:rFonts w:hint="eastAsia" w:ascii="宋体" w:hAnsi="宋体"/>
                <w:kern w:val="0"/>
                <w:szCs w:val="21"/>
              </w:rPr>
              <w:t>单盘技术指标满足IOPS 10000-25000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41" w:type="dxa"/>
            <w:vMerge w:val="continue"/>
            <w:noWrap/>
            <w:vAlign w:val="center"/>
          </w:tcPr>
          <w:p>
            <w:pPr>
              <w:widowControl/>
              <w:rPr>
                <w:rFonts w:ascii="宋体" w:hAnsi="宋体" w:cs="仿宋_GB2312"/>
                <w:szCs w:val="21"/>
              </w:rPr>
            </w:pPr>
          </w:p>
        </w:tc>
        <w:tc>
          <w:tcPr>
            <w:tcW w:w="7844" w:type="dxa"/>
            <w:noWrap/>
            <w:vAlign w:val="center"/>
          </w:tcPr>
          <w:p>
            <w:pPr>
              <w:rPr>
                <w:rFonts w:ascii="宋体" w:hAnsi="宋体" w:cs="仿宋_GB2312"/>
                <w:szCs w:val="21"/>
              </w:rPr>
            </w:pPr>
            <w:r>
              <w:rPr>
                <w:rFonts w:hint="eastAsia" w:ascii="宋体" w:hAnsi="宋体" w:cs="仿宋_GB2312"/>
                <w:szCs w:val="21"/>
              </w:rPr>
              <w:t>投标人静态存储服务应采用对象存储技术，采用基于服务器本地硬盘提供对象存储资源池。</w:t>
            </w:r>
          </w:p>
          <w:p>
            <w:pPr>
              <w:rPr>
                <w:rFonts w:ascii="宋体" w:hAnsi="宋体" w:cs="仿宋_GB2312"/>
                <w:szCs w:val="21"/>
              </w:rPr>
            </w:pPr>
            <w:r>
              <w:rPr>
                <w:rFonts w:hint="eastAsia" w:ascii="宋体" w:hAnsi="宋体" w:cs="仿宋_GB2312"/>
                <w:szCs w:val="21"/>
              </w:rPr>
              <w:t>云平台支持通过Web界面对对象存储文件夹进行增删改查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41" w:type="dxa"/>
            <w:vMerge w:val="continue"/>
            <w:noWrap/>
            <w:vAlign w:val="center"/>
          </w:tcPr>
          <w:p>
            <w:pPr>
              <w:widowControl/>
              <w:rPr>
                <w:rFonts w:ascii="宋体" w:hAnsi="宋体" w:cs="仿宋_GB2312"/>
                <w:szCs w:val="21"/>
              </w:rPr>
            </w:pPr>
          </w:p>
        </w:tc>
        <w:tc>
          <w:tcPr>
            <w:tcW w:w="7844" w:type="dxa"/>
            <w:noWrap/>
            <w:vAlign w:val="center"/>
          </w:tcPr>
          <w:p>
            <w:pPr>
              <w:rPr>
                <w:rFonts w:ascii="宋体" w:hAnsi="宋体" w:cs="仿宋_GB2312"/>
                <w:szCs w:val="21"/>
              </w:rPr>
            </w:pPr>
            <w:r>
              <w:rPr>
                <w:rFonts w:hint="eastAsia" w:ascii="宋体" w:hAnsi="宋体" w:cs="仿宋_GB2312"/>
                <w:szCs w:val="21"/>
              </w:rPr>
              <w:t>本地数据零丢失，提供备份数据内容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41" w:type="dxa"/>
            <w:vMerge w:val="continue"/>
            <w:noWrap/>
            <w:vAlign w:val="center"/>
          </w:tcPr>
          <w:p>
            <w:pPr>
              <w:widowControl/>
              <w:rPr>
                <w:rFonts w:ascii="宋体" w:hAnsi="宋体" w:cs="仿宋_GB2312"/>
                <w:szCs w:val="21"/>
              </w:rPr>
            </w:pPr>
          </w:p>
        </w:tc>
        <w:tc>
          <w:tcPr>
            <w:tcW w:w="7844" w:type="dxa"/>
            <w:noWrap/>
            <w:vAlign w:val="center"/>
          </w:tcPr>
          <w:p>
            <w:pPr>
              <w:rPr>
                <w:rFonts w:ascii="宋体" w:hAnsi="宋体" w:cs="仿宋_GB2312"/>
                <w:szCs w:val="21"/>
              </w:rPr>
            </w:pPr>
            <w:r>
              <w:rPr>
                <w:rFonts w:hint="eastAsia" w:ascii="宋体" w:hAnsi="宋体" w:cs="仿宋_GB2312"/>
                <w:szCs w:val="21"/>
              </w:rPr>
              <w:t>支持NFS，CIFS，SAMBA等协议，可进行跨平台文件共享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41" w:type="dxa"/>
            <w:vMerge w:val="continue"/>
            <w:noWrap/>
            <w:vAlign w:val="center"/>
          </w:tcPr>
          <w:p>
            <w:pPr>
              <w:widowControl/>
              <w:rPr>
                <w:rFonts w:ascii="宋体" w:hAnsi="宋体" w:cs="仿宋_GB2312"/>
                <w:szCs w:val="21"/>
              </w:rPr>
            </w:pPr>
          </w:p>
        </w:tc>
        <w:tc>
          <w:tcPr>
            <w:tcW w:w="7844" w:type="dxa"/>
            <w:noWrap/>
            <w:vAlign w:val="top"/>
          </w:tcPr>
          <w:p>
            <w:pPr>
              <w:rPr>
                <w:rFonts w:ascii="宋体" w:hAnsi="宋体" w:cs="仿宋_GB2312"/>
                <w:szCs w:val="21"/>
              </w:rPr>
            </w:pPr>
            <w:r>
              <w:rPr>
                <w:rFonts w:hint="eastAsia" w:ascii="宋体" w:hAnsi="宋体" w:cs="仿宋_GB2312"/>
                <w:szCs w:val="21"/>
              </w:rPr>
              <w:t>支持存储快照，对系统盘、磁盘数据生成备份，快速恢复数据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1441" w:type="dxa"/>
            <w:vMerge w:val="continue"/>
            <w:noWrap/>
            <w:vAlign w:val="center"/>
          </w:tcPr>
          <w:p>
            <w:pPr>
              <w:widowControl/>
              <w:rPr>
                <w:rFonts w:ascii="宋体" w:hAnsi="宋体" w:cs="仿宋_GB2312"/>
                <w:szCs w:val="21"/>
              </w:rPr>
            </w:pPr>
          </w:p>
        </w:tc>
        <w:tc>
          <w:tcPr>
            <w:tcW w:w="7844" w:type="dxa"/>
            <w:noWrap/>
            <w:vAlign w:val="top"/>
          </w:tcPr>
          <w:p>
            <w:pPr>
              <w:rPr>
                <w:rFonts w:ascii="宋体" w:hAnsi="宋体" w:cs="仿宋_GB2312"/>
                <w:szCs w:val="21"/>
              </w:rPr>
            </w:pPr>
            <w:r>
              <w:rPr>
                <w:rFonts w:hint="eastAsia" w:ascii="宋体" w:hAnsi="宋体" w:cs="仿宋_GB2312"/>
                <w:szCs w:val="21"/>
              </w:rPr>
              <w:t>支持云磁盘的创建、删除、挂载到一个特定的虚拟机，作为用户的数据盘使用，支持逻辑卷快照及恢复，支持逻辑卷按需扩容</w:t>
            </w:r>
          </w:p>
        </w:tc>
      </w:tr>
    </w:tbl>
    <w:p>
      <w:pPr>
        <w:widowControl/>
        <w:spacing w:line="360" w:lineRule="auto"/>
        <w:ind w:firstLine="480" w:firstLineChars="200"/>
        <w:contextualSpacing/>
        <w:rPr>
          <w:sz w:val="24"/>
        </w:rPr>
      </w:pPr>
      <w:r>
        <w:rPr>
          <w:rFonts w:hint="eastAsia"/>
          <w:sz w:val="24"/>
        </w:rPr>
        <w:t>（3）本地备份技术需求</w:t>
      </w:r>
    </w:p>
    <w:tbl>
      <w:tblPr>
        <w:tblStyle w:val="7"/>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7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434" w:type="dxa"/>
            <w:noWrap/>
            <w:vAlign w:val="center"/>
          </w:tcPr>
          <w:p>
            <w:pPr>
              <w:widowControl/>
              <w:jc w:val="center"/>
              <w:rPr>
                <w:rFonts w:ascii="宋体" w:hAnsi="宋体" w:cs="仿宋_GB2312"/>
                <w:szCs w:val="21"/>
              </w:rPr>
            </w:pPr>
            <w:r>
              <w:rPr>
                <w:rFonts w:hint="eastAsia" w:ascii="宋体" w:hAnsi="宋体" w:cs="仿宋_GB2312"/>
                <w:szCs w:val="21"/>
              </w:rPr>
              <w:t>指标项</w:t>
            </w:r>
          </w:p>
        </w:tc>
        <w:tc>
          <w:tcPr>
            <w:tcW w:w="7851" w:type="dxa"/>
            <w:noWrap/>
            <w:vAlign w:val="center"/>
          </w:tcPr>
          <w:p>
            <w:pPr>
              <w:widowControl/>
              <w:jc w:val="center"/>
              <w:rPr>
                <w:rFonts w:ascii="宋体" w:hAnsi="宋体" w:cs="仿宋_GB2312"/>
                <w:szCs w:val="21"/>
              </w:rPr>
            </w:pPr>
            <w:r>
              <w:rPr>
                <w:rFonts w:hint="eastAsia" w:ascii="宋体" w:hAnsi="宋体" w:cs="仿宋_GB2312"/>
                <w:szCs w:val="21"/>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1434" w:type="dxa"/>
            <w:vMerge w:val="restart"/>
            <w:noWrap/>
            <w:vAlign w:val="center"/>
          </w:tcPr>
          <w:p>
            <w:pPr>
              <w:rPr>
                <w:rFonts w:ascii="宋体" w:hAnsi="宋体" w:cs="仿宋_GB2312"/>
                <w:szCs w:val="21"/>
              </w:rPr>
            </w:pPr>
            <w:r>
              <w:rPr>
                <w:rFonts w:hint="eastAsia" w:ascii="宋体" w:hAnsi="宋体" w:cs="仿宋_GB2312"/>
                <w:szCs w:val="21"/>
              </w:rPr>
              <w:t>基本要求</w:t>
            </w:r>
          </w:p>
        </w:tc>
        <w:tc>
          <w:tcPr>
            <w:tcW w:w="7851" w:type="dxa"/>
            <w:noWrap/>
            <w:vAlign w:val="center"/>
          </w:tcPr>
          <w:p>
            <w:pPr>
              <w:rPr>
                <w:rFonts w:ascii="宋体" w:hAnsi="宋体" w:cs="仿宋_GB2312"/>
                <w:szCs w:val="21"/>
              </w:rPr>
            </w:pPr>
            <w:r>
              <w:rPr>
                <w:rFonts w:hint="eastAsia" w:ascii="宋体" w:hAnsi="宋体" w:cs="仿宋_GB2312"/>
                <w:szCs w:val="21"/>
              </w:rPr>
              <w:t>采用B/S架构；支持生产端主流操作系统LINUX/Windows 平台；支持多种数据库类型包括Oracle、MS SQL Server、Mysql等，并且支持这些数据库的所有版本；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434" w:type="dxa"/>
            <w:vMerge w:val="continue"/>
            <w:noWrap/>
            <w:vAlign w:val="center"/>
          </w:tcPr>
          <w:p>
            <w:pPr>
              <w:widowControl/>
              <w:rPr>
                <w:rFonts w:ascii="宋体" w:hAnsi="宋体" w:cs="仿宋_GB2312"/>
                <w:szCs w:val="21"/>
              </w:rPr>
            </w:pPr>
          </w:p>
        </w:tc>
        <w:tc>
          <w:tcPr>
            <w:tcW w:w="7851" w:type="dxa"/>
            <w:noWrap/>
            <w:vAlign w:val="center"/>
          </w:tcPr>
          <w:p>
            <w:pPr>
              <w:rPr>
                <w:rFonts w:ascii="宋体" w:hAnsi="宋体" w:cs="仿宋_GB2312"/>
                <w:szCs w:val="21"/>
              </w:rPr>
            </w:pPr>
            <w:r>
              <w:rPr>
                <w:rFonts w:hint="eastAsia" w:ascii="宋体" w:hAnsi="宋体" w:cs="仿宋_GB2312"/>
                <w:szCs w:val="21"/>
              </w:rPr>
              <w:t>基于服务器操作系统层，旁路监测被保护数据每次磁盘I/O的变化。实时监测每一笔磁盘写I/O操作，并以事件日志的方式记录。恢复时基于事件日志可以做任意时刻数据恢复；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434" w:type="dxa"/>
            <w:vMerge w:val="continue"/>
            <w:noWrap/>
            <w:vAlign w:val="center"/>
          </w:tcPr>
          <w:p>
            <w:pPr>
              <w:widowControl/>
              <w:rPr>
                <w:rFonts w:ascii="宋体" w:hAnsi="宋体" w:cs="仿宋_GB2312"/>
                <w:szCs w:val="21"/>
              </w:rPr>
            </w:pPr>
          </w:p>
        </w:tc>
        <w:tc>
          <w:tcPr>
            <w:tcW w:w="7851" w:type="dxa"/>
            <w:noWrap/>
            <w:vAlign w:val="center"/>
          </w:tcPr>
          <w:p>
            <w:pPr>
              <w:rPr>
                <w:rFonts w:ascii="宋体" w:hAnsi="宋体" w:cs="仿宋_GB2312"/>
                <w:szCs w:val="21"/>
              </w:rPr>
            </w:pPr>
            <w:r>
              <w:rPr>
                <w:rFonts w:hint="eastAsia" w:ascii="宋体" w:hAnsi="宋体" w:cs="仿宋_GB2312"/>
                <w:szCs w:val="21"/>
              </w:rPr>
              <w:t>生产端到灾备端数据传输时要基于字节级实时数据传输而非存储块级；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434" w:type="dxa"/>
            <w:vMerge w:val="continue"/>
            <w:noWrap/>
            <w:vAlign w:val="center"/>
          </w:tcPr>
          <w:p>
            <w:pPr>
              <w:widowControl/>
              <w:rPr>
                <w:rFonts w:ascii="宋体" w:hAnsi="宋体" w:cs="仿宋_GB2312"/>
                <w:szCs w:val="21"/>
              </w:rPr>
            </w:pPr>
          </w:p>
        </w:tc>
        <w:tc>
          <w:tcPr>
            <w:tcW w:w="7851" w:type="dxa"/>
            <w:noWrap/>
            <w:vAlign w:val="center"/>
          </w:tcPr>
          <w:p>
            <w:pPr>
              <w:rPr>
                <w:rFonts w:ascii="宋体" w:hAnsi="宋体" w:cs="仿宋_GB2312"/>
                <w:szCs w:val="21"/>
              </w:rPr>
            </w:pPr>
            <w:r>
              <w:rPr>
                <w:rFonts w:hint="eastAsia" w:ascii="宋体" w:hAnsi="宋体" w:cs="仿宋_GB2312"/>
                <w:szCs w:val="21"/>
              </w:rPr>
              <w:t>支持实时、定时两种备份方式；支持一对一、一对多、多对一、级联、双向等部署方式，且在多对一复制时备份端只需配置一套备份端软件；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434" w:type="dxa"/>
            <w:vMerge w:val="continue"/>
            <w:noWrap/>
            <w:vAlign w:val="center"/>
          </w:tcPr>
          <w:p>
            <w:pPr>
              <w:widowControl/>
              <w:rPr>
                <w:rFonts w:ascii="宋体" w:hAnsi="宋体" w:cs="仿宋_GB2312"/>
                <w:szCs w:val="21"/>
              </w:rPr>
            </w:pPr>
          </w:p>
        </w:tc>
        <w:tc>
          <w:tcPr>
            <w:tcW w:w="7851" w:type="dxa"/>
            <w:noWrap/>
            <w:vAlign w:val="center"/>
          </w:tcPr>
          <w:p>
            <w:pPr>
              <w:rPr>
                <w:rFonts w:ascii="宋体" w:hAnsi="宋体" w:cs="仿宋_GB2312"/>
                <w:szCs w:val="21"/>
              </w:rPr>
            </w:pPr>
            <w:r>
              <w:rPr>
                <w:rFonts w:hint="eastAsia" w:ascii="宋体" w:hAnsi="宋体" w:cs="仿宋_GB2312"/>
                <w:szCs w:val="21"/>
              </w:rPr>
              <w:t>服务器主机层做应用/数据库高可用，不依赖于某个具体的硬件平台；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434" w:type="dxa"/>
            <w:vMerge w:val="continue"/>
            <w:noWrap/>
            <w:vAlign w:val="center"/>
          </w:tcPr>
          <w:p>
            <w:pPr>
              <w:widowControl/>
              <w:rPr>
                <w:rFonts w:ascii="宋体" w:hAnsi="宋体" w:cs="仿宋_GB2312"/>
                <w:szCs w:val="21"/>
              </w:rPr>
            </w:pPr>
          </w:p>
        </w:tc>
        <w:tc>
          <w:tcPr>
            <w:tcW w:w="7851" w:type="dxa"/>
            <w:noWrap/>
            <w:vAlign w:val="center"/>
          </w:tcPr>
          <w:p>
            <w:pPr>
              <w:rPr>
                <w:rFonts w:ascii="宋体" w:hAnsi="宋体" w:cs="仿宋_GB2312"/>
                <w:szCs w:val="21"/>
              </w:rPr>
            </w:pPr>
            <w:r>
              <w:rPr>
                <w:rFonts w:hint="eastAsia" w:ascii="宋体" w:hAnsi="宋体" w:cs="仿宋_GB2312"/>
                <w:szCs w:val="21"/>
              </w:rPr>
              <w:t>支持主机/备机之间实时数据同步，基于主机被保护数据每一笔磁盘I/O操作，以字节的方式高效的传输到备机进行数据同步；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34" w:type="dxa"/>
            <w:vMerge w:val="continue"/>
            <w:noWrap/>
            <w:vAlign w:val="center"/>
          </w:tcPr>
          <w:p>
            <w:pPr>
              <w:widowControl/>
              <w:rPr>
                <w:rFonts w:ascii="宋体" w:hAnsi="宋体" w:cs="仿宋_GB2312"/>
                <w:szCs w:val="21"/>
              </w:rPr>
            </w:pPr>
          </w:p>
        </w:tc>
        <w:tc>
          <w:tcPr>
            <w:tcW w:w="7851" w:type="dxa"/>
            <w:noWrap/>
            <w:vAlign w:val="center"/>
          </w:tcPr>
          <w:p>
            <w:pPr>
              <w:rPr>
                <w:rFonts w:ascii="宋体" w:hAnsi="宋体" w:cs="仿宋_GB2312"/>
                <w:szCs w:val="21"/>
              </w:rPr>
            </w:pPr>
            <w:r>
              <w:rPr>
                <w:rFonts w:hint="eastAsia" w:ascii="宋体" w:hAnsi="宋体" w:cs="仿宋_GB2312"/>
                <w:szCs w:val="21"/>
              </w:rPr>
              <w:t>支持缓存和断点续传机制。当备份端硬件故障或网络传输异常中断时，自动缓存生产端数据库的新增数据，系统或网络故障恢复后自动实现断点续传；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434" w:type="dxa"/>
            <w:vMerge w:val="continue"/>
            <w:noWrap/>
            <w:vAlign w:val="center"/>
          </w:tcPr>
          <w:p>
            <w:pPr>
              <w:widowControl/>
              <w:rPr>
                <w:rFonts w:ascii="宋体" w:hAnsi="宋体" w:cs="仿宋_GB2312"/>
                <w:szCs w:val="21"/>
              </w:rPr>
            </w:pPr>
          </w:p>
        </w:tc>
        <w:tc>
          <w:tcPr>
            <w:tcW w:w="7851" w:type="dxa"/>
            <w:noWrap/>
            <w:vAlign w:val="center"/>
          </w:tcPr>
          <w:p>
            <w:pPr>
              <w:rPr>
                <w:rFonts w:ascii="宋体" w:hAnsi="宋体" w:cs="仿宋_GB2312"/>
                <w:szCs w:val="21"/>
              </w:rPr>
            </w:pPr>
            <w:r>
              <w:rPr>
                <w:rFonts w:hint="eastAsia" w:ascii="宋体" w:hAnsi="宋体" w:cs="仿宋_GB2312"/>
                <w:szCs w:val="21"/>
              </w:rPr>
              <w:t>图形化管理方式，无需命令行操作；</w:t>
            </w:r>
          </w:p>
        </w:tc>
      </w:tr>
    </w:tbl>
    <w:p>
      <w:pPr>
        <w:widowControl/>
        <w:spacing w:line="360" w:lineRule="auto"/>
        <w:ind w:firstLine="480" w:firstLineChars="200"/>
        <w:contextualSpacing/>
        <w:rPr>
          <w:sz w:val="24"/>
        </w:rPr>
      </w:pPr>
      <w:r>
        <w:rPr>
          <w:rFonts w:hint="eastAsia"/>
          <w:sz w:val="24"/>
        </w:rPr>
        <w:t>（4）互联网链路技术需求</w:t>
      </w:r>
    </w:p>
    <w:tbl>
      <w:tblPr>
        <w:tblStyle w:val="7"/>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宋体" w:hAnsi="宋体" w:cs="仿宋_GB2312"/>
                <w:szCs w:val="21"/>
              </w:rPr>
            </w:pPr>
            <w:r>
              <w:rPr>
                <w:rFonts w:hint="eastAsia" w:ascii="宋体" w:hAnsi="宋体" w:cs="仿宋_GB2312"/>
                <w:szCs w:val="21"/>
              </w:rPr>
              <w:t>指标项</w:t>
            </w:r>
          </w:p>
        </w:tc>
        <w:tc>
          <w:tcPr>
            <w:tcW w:w="6519"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宋体" w:hAnsi="宋体" w:cs="仿宋_GB2312"/>
                <w:szCs w:val="21"/>
              </w:rPr>
            </w:pPr>
            <w:r>
              <w:rPr>
                <w:rFonts w:hint="eastAsia" w:ascii="宋体" w:hAnsi="宋体" w:cs="仿宋_GB2312"/>
                <w:szCs w:val="21"/>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766" w:type="dxa"/>
            <w:tcBorders>
              <w:top w:val="single" w:color="auto" w:sz="4" w:space="0"/>
              <w:left w:val="single" w:color="auto" w:sz="4" w:space="0"/>
              <w:bottom w:val="single" w:color="auto" w:sz="4" w:space="0"/>
              <w:right w:val="single" w:color="auto" w:sz="4" w:space="0"/>
            </w:tcBorders>
            <w:noWrap/>
            <w:vAlign w:val="top"/>
          </w:tcPr>
          <w:p>
            <w:pPr>
              <w:adjustRightInd w:val="0"/>
              <w:jc w:val="center"/>
              <w:textAlignment w:val="baseline"/>
              <w:rPr>
                <w:rFonts w:ascii="宋体" w:hAnsi="宋体"/>
                <w:kern w:val="0"/>
                <w:szCs w:val="21"/>
              </w:rPr>
            </w:pPr>
            <w:r>
              <w:rPr>
                <w:rFonts w:hint="eastAsia" w:ascii="宋体" w:hAnsi="宋体"/>
                <w:kern w:val="0"/>
                <w:szCs w:val="21"/>
              </w:rPr>
              <w:t>带宽租用服务</w:t>
            </w:r>
          </w:p>
        </w:tc>
        <w:tc>
          <w:tcPr>
            <w:tcW w:w="6519" w:type="dxa"/>
            <w:tcBorders>
              <w:top w:val="single" w:color="auto" w:sz="4" w:space="0"/>
              <w:left w:val="single" w:color="auto" w:sz="4" w:space="0"/>
              <w:bottom w:val="single" w:color="auto" w:sz="4" w:space="0"/>
              <w:right w:val="single" w:color="auto" w:sz="4" w:space="0"/>
            </w:tcBorders>
            <w:noWrap/>
            <w:vAlign w:val="top"/>
          </w:tcPr>
          <w:p>
            <w:pPr>
              <w:adjustRightInd w:val="0"/>
              <w:textAlignment w:val="baseline"/>
              <w:rPr>
                <w:rFonts w:ascii="宋体" w:hAnsi="宋体"/>
                <w:kern w:val="0"/>
                <w:szCs w:val="21"/>
              </w:rPr>
            </w:pPr>
            <w:r>
              <w:rPr>
                <w:rFonts w:hint="eastAsia" w:ascii="宋体" w:hAnsi="宋体"/>
                <w:kern w:val="0"/>
                <w:szCs w:val="21"/>
              </w:rPr>
              <w:t>提供互联网带宽租用服务，带宽提供方应为一级运营商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6" w:type="dxa"/>
            <w:tcBorders>
              <w:top w:val="single" w:color="auto" w:sz="4" w:space="0"/>
              <w:left w:val="single" w:color="auto" w:sz="4" w:space="0"/>
              <w:bottom w:val="single" w:color="auto" w:sz="4" w:space="0"/>
              <w:right w:val="single" w:color="auto" w:sz="4" w:space="0"/>
            </w:tcBorders>
            <w:noWrap/>
            <w:vAlign w:val="top"/>
          </w:tcPr>
          <w:p>
            <w:pPr>
              <w:adjustRightInd w:val="0"/>
              <w:jc w:val="center"/>
              <w:textAlignment w:val="baseline"/>
              <w:rPr>
                <w:rFonts w:ascii="宋体" w:hAnsi="宋体"/>
                <w:kern w:val="0"/>
                <w:szCs w:val="21"/>
              </w:rPr>
            </w:pPr>
            <w:r>
              <w:rPr>
                <w:rFonts w:hint="eastAsia" w:ascii="宋体" w:hAnsi="宋体"/>
                <w:kern w:val="0"/>
                <w:szCs w:val="21"/>
              </w:rPr>
              <w:t>可靠性要求</w:t>
            </w:r>
          </w:p>
        </w:tc>
        <w:tc>
          <w:tcPr>
            <w:tcW w:w="6519" w:type="dxa"/>
            <w:tcBorders>
              <w:top w:val="single" w:color="auto" w:sz="4" w:space="0"/>
              <w:left w:val="single" w:color="auto" w:sz="4" w:space="0"/>
              <w:bottom w:val="single" w:color="auto" w:sz="4" w:space="0"/>
              <w:right w:val="single" w:color="auto" w:sz="4" w:space="0"/>
            </w:tcBorders>
            <w:noWrap/>
            <w:vAlign w:val="top"/>
          </w:tcPr>
          <w:p>
            <w:pPr>
              <w:adjustRightInd w:val="0"/>
              <w:textAlignment w:val="baseline"/>
              <w:rPr>
                <w:rFonts w:ascii="宋体" w:hAnsi="宋体"/>
                <w:kern w:val="0"/>
                <w:szCs w:val="21"/>
              </w:rPr>
            </w:pPr>
            <w:r>
              <w:rPr>
                <w:rFonts w:hint="eastAsia" w:ascii="宋体" w:hAnsi="宋体"/>
                <w:kern w:val="0"/>
                <w:szCs w:val="21"/>
              </w:rPr>
              <w:t>须提供多线运营商接入服务，保证服务稳定可靠。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6" w:type="dxa"/>
            <w:tcBorders>
              <w:top w:val="single" w:color="auto" w:sz="4" w:space="0"/>
              <w:left w:val="single" w:color="auto" w:sz="4" w:space="0"/>
              <w:bottom w:val="single" w:color="auto" w:sz="4" w:space="0"/>
              <w:right w:val="single" w:color="auto" w:sz="4" w:space="0"/>
            </w:tcBorders>
            <w:noWrap/>
            <w:vAlign w:val="center"/>
          </w:tcPr>
          <w:p>
            <w:pPr>
              <w:adjustRightInd w:val="0"/>
              <w:jc w:val="center"/>
              <w:textAlignment w:val="baseline"/>
              <w:rPr>
                <w:rFonts w:ascii="宋体" w:hAnsi="宋体"/>
                <w:kern w:val="0"/>
                <w:szCs w:val="21"/>
              </w:rPr>
            </w:pPr>
            <w:r>
              <w:rPr>
                <w:rFonts w:hint="eastAsia" w:ascii="宋体" w:hAnsi="宋体"/>
                <w:kern w:val="0"/>
                <w:szCs w:val="21"/>
              </w:rPr>
              <w:t>可操作性</w:t>
            </w:r>
          </w:p>
        </w:tc>
        <w:tc>
          <w:tcPr>
            <w:tcW w:w="6519" w:type="dxa"/>
            <w:tcBorders>
              <w:top w:val="single" w:color="auto" w:sz="4" w:space="0"/>
              <w:left w:val="single" w:color="auto" w:sz="4" w:space="0"/>
              <w:bottom w:val="single" w:color="auto" w:sz="4" w:space="0"/>
              <w:right w:val="single" w:color="auto" w:sz="4" w:space="0"/>
            </w:tcBorders>
            <w:noWrap/>
            <w:vAlign w:val="top"/>
          </w:tcPr>
          <w:p>
            <w:pPr>
              <w:adjustRightInd w:val="0"/>
              <w:textAlignment w:val="baseline"/>
              <w:rPr>
                <w:rFonts w:ascii="宋体" w:hAnsi="宋体"/>
                <w:kern w:val="0"/>
                <w:szCs w:val="21"/>
              </w:rPr>
            </w:pPr>
            <w:r>
              <w:rPr>
                <w:rFonts w:hint="eastAsia" w:ascii="宋体" w:hAnsi="宋体"/>
                <w:kern w:val="0"/>
                <w:szCs w:val="21"/>
              </w:rPr>
              <w:t>支持通过云管理平台，实现申请部署与使用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6" w:type="dxa"/>
            <w:tcBorders>
              <w:top w:val="single" w:color="auto" w:sz="4" w:space="0"/>
              <w:left w:val="single" w:color="auto" w:sz="4" w:space="0"/>
              <w:bottom w:val="single" w:color="auto" w:sz="4" w:space="0"/>
              <w:right w:val="single" w:color="auto" w:sz="4" w:space="0"/>
            </w:tcBorders>
            <w:noWrap/>
            <w:vAlign w:val="top"/>
          </w:tcPr>
          <w:p>
            <w:pPr>
              <w:adjustRightInd w:val="0"/>
              <w:jc w:val="center"/>
              <w:textAlignment w:val="baseline"/>
              <w:rPr>
                <w:rFonts w:ascii="宋体" w:hAnsi="宋体"/>
                <w:kern w:val="0"/>
                <w:szCs w:val="21"/>
              </w:rPr>
            </w:pPr>
            <w:r>
              <w:rPr>
                <w:rFonts w:hint="eastAsia" w:ascii="宋体" w:hAnsi="宋体"/>
                <w:kern w:val="0"/>
                <w:szCs w:val="21"/>
              </w:rPr>
              <w:t>互联网IP地址租用服务</w:t>
            </w:r>
          </w:p>
        </w:tc>
        <w:tc>
          <w:tcPr>
            <w:tcW w:w="6519" w:type="dxa"/>
            <w:tcBorders>
              <w:top w:val="single" w:color="auto" w:sz="4" w:space="0"/>
              <w:left w:val="single" w:color="auto" w:sz="4" w:space="0"/>
              <w:bottom w:val="single" w:color="auto" w:sz="4" w:space="0"/>
              <w:right w:val="single" w:color="auto" w:sz="4" w:space="0"/>
            </w:tcBorders>
            <w:noWrap/>
            <w:vAlign w:val="top"/>
          </w:tcPr>
          <w:p>
            <w:pPr>
              <w:adjustRightInd w:val="0"/>
              <w:textAlignment w:val="baseline"/>
              <w:rPr>
                <w:rFonts w:ascii="宋体" w:hAnsi="宋体"/>
                <w:kern w:val="0"/>
                <w:szCs w:val="21"/>
              </w:rPr>
            </w:pPr>
            <w:r>
              <w:rPr>
                <w:rFonts w:hint="eastAsia" w:ascii="宋体" w:hAnsi="宋体"/>
                <w:kern w:val="0"/>
                <w:szCs w:val="21"/>
              </w:rPr>
              <w:t>可提供IPV4/IPV6互联网IP 地址租用服务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6" w:type="dxa"/>
            <w:tcBorders>
              <w:top w:val="single" w:color="auto" w:sz="4" w:space="0"/>
              <w:left w:val="single" w:color="auto" w:sz="4" w:space="0"/>
              <w:bottom w:val="single" w:color="auto" w:sz="4" w:space="0"/>
              <w:right w:val="single" w:color="auto" w:sz="4" w:space="0"/>
            </w:tcBorders>
            <w:noWrap/>
            <w:vAlign w:val="center"/>
          </w:tcPr>
          <w:p>
            <w:pPr>
              <w:adjustRightInd w:val="0"/>
              <w:jc w:val="center"/>
              <w:textAlignment w:val="baseline"/>
              <w:rPr>
                <w:rFonts w:ascii="宋体" w:hAnsi="宋体"/>
                <w:kern w:val="0"/>
                <w:szCs w:val="21"/>
              </w:rPr>
            </w:pPr>
            <w:r>
              <w:rPr>
                <w:rFonts w:hint="eastAsia" w:ascii="宋体" w:hAnsi="宋体"/>
                <w:kern w:val="0"/>
                <w:szCs w:val="21"/>
              </w:rPr>
              <w:t>网站域名备案服务</w:t>
            </w:r>
          </w:p>
        </w:tc>
        <w:tc>
          <w:tcPr>
            <w:tcW w:w="6519" w:type="dxa"/>
            <w:tcBorders>
              <w:top w:val="single" w:color="auto" w:sz="4" w:space="0"/>
              <w:left w:val="single" w:color="auto" w:sz="4" w:space="0"/>
              <w:bottom w:val="single" w:color="auto" w:sz="4" w:space="0"/>
              <w:right w:val="single" w:color="auto" w:sz="4" w:space="0"/>
            </w:tcBorders>
            <w:noWrap/>
            <w:vAlign w:val="top"/>
          </w:tcPr>
          <w:p>
            <w:pPr>
              <w:adjustRightInd w:val="0"/>
              <w:textAlignment w:val="baseline"/>
              <w:rPr>
                <w:rFonts w:ascii="宋体" w:hAnsi="宋体"/>
                <w:kern w:val="0"/>
                <w:szCs w:val="21"/>
              </w:rPr>
            </w:pPr>
            <w:r>
              <w:rPr>
                <w:rFonts w:hint="eastAsia" w:ascii="宋体" w:hAnsi="宋体"/>
                <w:kern w:val="0"/>
                <w:szCs w:val="21"/>
              </w:rPr>
              <w:t>提供在线网站域名备案服务，提供投标人域名备案网站页面截图及网站链接</w:t>
            </w:r>
            <w:r>
              <w:rPr>
                <w:rFonts w:hint="eastAsia" w:ascii="宋体" w:hAnsi="宋体" w:cs="仿宋_GB2312"/>
                <w:szCs w:val="21"/>
              </w:rPr>
              <w:t>（提供截图证明文件）</w:t>
            </w: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66" w:type="dxa"/>
            <w:tcBorders>
              <w:top w:val="single" w:color="auto" w:sz="4" w:space="0"/>
              <w:left w:val="single" w:color="auto" w:sz="4" w:space="0"/>
              <w:bottom w:val="single" w:color="auto" w:sz="4" w:space="0"/>
              <w:right w:val="single" w:color="auto" w:sz="4" w:space="0"/>
            </w:tcBorders>
            <w:noWrap/>
            <w:vAlign w:val="center"/>
          </w:tcPr>
          <w:p>
            <w:pPr>
              <w:adjustRightInd w:val="0"/>
              <w:jc w:val="center"/>
              <w:textAlignment w:val="baseline"/>
              <w:rPr>
                <w:rFonts w:hint="eastAsia" w:ascii="宋体" w:hAnsi="宋体"/>
                <w:kern w:val="0"/>
                <w:szCs w:val="21"/>
              </w:rPr>
            </w:pPr>
            <w:r>
              <w:rPr>
                <w:rFonts w:hint="eastAsia" w:ascii="宋体" w:hAnsi="宋体"/>
                <w:kern w:val="0"/>
                <w:szCs w:val="21"/>
              </w:rPr>
              <w:t>可操作性</w:t>
            </w:r>
          </w:p>
        </w:tc>
        <w:tc>
          <w:tcPr>
            <w:tcW w:w="6519" w:type="dxa"/>
            <w:tcBorders>
              <w:top w:val="single" w:color="auto" w:sz="4" w:space="0"/>
              <w:left w:val="single" w:color="auto" w:sz="4" w:space="0"/>
              <w:bottom w:val="single" w:color="auto" w:sz="4" w:space="0"/>
              <w:right w:val="single" w:color="auto" w:sz="4" w:space="0"/>
            </w:tcBorders>
            <w:noWrap/>
            <w:vAlign w:val="top"/>
          </w:tcPr>
          <w:p>
            <w:pPr>
              <w:adjustRightInd w:val="0"/>
              <w:textAlignment w:val="baseline"/>
              <w:rPr>
                <w:rFonts w:hint="eastAsia" w:ascii="宋体" w:hAnsi="宋体"/>
                <w:kern w:val="0"/>
                <w:szCs w:val="21"/>
              </w:rPr>
            </w:pPr>
            <w:r>
              <w:rPr>
                <w:rFonts w:hint="eastAsia" w:ascii="宋体" w:hAnsi="宋体"/>
                <w:kern w:val="0"/>
                <w:szCs w:val="21"/>
              </w:rPr>
              <w:t>支持通过云管理平台，实现申请部署与使用</w:t>
            </w:r>
          </w:p>
        </w:tc>
      </w:tr>
    </w:tbl>
    <w:p>
      <w:pPr>
        <w:widowControl/>
        <w:spacing w:line="360" w:lineRule="auto"/>
        <w:ind w:firstLine="480" w:firstLineChars="200"/>
        <w:contextualSpacing/>
        <w:rPr>
          <w:sz w:val="24"/>
        </w:rPr>
      </w:pPr>
      <w:r>
        <w:rPr>
          <w:rFonts w:hint="eastAsia"/>
          <w:sz w:val="24"/>
        </w:rPr>
        <w:t>（5）主机负载均衡技术需求</w:t>
      </w:r>
    </w:p>
    <w:tbl>
      <w:tblPr>
        <w:tblStyle w:val="7"/>
        <w:tblW w:w="928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2"/>
        <w:gridCol w:w="6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jc w:val="center"/>
        </w:trPr>
        <w:tc>
          <w:tcPr>
            <w:tcW w:w="250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仿宋_GB2312"/>
                <w:szCs w:val="21"/>
              </w:rPr>
            </w:pPr>
            <w:r>
              <w:rPr>
                <w:rFonts w:hint="eastAsia" w:ascii="宋体" w:hAnsi="宋体" w:cs="仿宋_GB2312"/>
                <w:szCs w:val="21"/>
              </w:rPr>
              <w:t>指标项</w:t>
            </w:r>
          </w:p>
        </w:tc>
        <w:tc>
          <w:tcPr>
            <w:tcW w:w="6783" w:type="dxa"/>
            <w:tcBorders>
              <w:top w:val="single" w:color="000000" w:sz="4" w:space="0"/>
              <w:left w:val="nil"/>
              <w:bottom w:val="single" w:color="000000" w:sz="4" w:space="0"/>
              <w:right w:val="single" w:color="000000" w:sz="4" w:space="0"/>
            </w:tcBorders>
            <w:noWrap/>
            <w:vAlign w:val="top"/>
          </w:tcPr>
          <w:p>
            <w:pPr>
              <w:widowControl/>
              <w:jc w:val="center"/>
              <w:rPr>
                <w:rFonts w:ascii="宋体" w:hAnsi="宋体" w:cs="仿宋_GB2312"/>
                <w:szCs w:val="21"/>
              </w:rPr>
            </w:pPr>
            <w:r>
              <w:rPr>
                <w:rFonts w:hint="eastAsia" w:ascii="宋体" w:hAnsi="宋体" w:cs="仿宋_GB2312"/>
                <w:szCs w:val="21"/>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25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服务能力</w:t>
            </w:r>
          </w:p>
        </w:tc>
        <w:tc>
          <w:tcPr>
            <w:tcW w:w="6783" w:type="dxa"/>
            <w:tcBorders>
              <w:top w:val="single" w:color="000000" w:sz="4" w:space="0"/>
              <w:left w:val="nil"/>
              <w:bottom w:val="single" w:color="000000" w:sz="4" w:space="0"/>
              <w:right w:val="single" w:color="000000" w:sz="4" w:space="0"/>
            </w:tcBorders>
            <w:noWrap/>
            <w:vAlign w:val="top"/>
          </w:tcPr>
          <w:p>
            <w:pPr>
              <w:autoSpaceDE w:val="0"/>
              <w:autoSpaceDN w:val="0"/>
              <w:adjustRightInd w:val="0"/>
              <w:textAlignment w:val="baseline"/>
              <w:rPr>
                <w:rFonts w:ascii="宋体" w:hAnsi="宋体"/>
                <w:kern w:val="0"/>
                <w:szCs w:val="21"/>
              </w:rPr>
            </w:pPr>
            <w:r>
              <w:rPr>
                <w:rFonts w:hint="eastAsia" w:ascii="宋体" w:hAnsi="宋体"/>
                <w:kern w:val="0"/>
                <w:szCs w:val="21"/>
              </w:rPr>
              <w:t>通过云管理平台实现针每租户按需自动分配负载均衡服务的能力。总体峰值可支持每秒新建链接数不少于40万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jc w:val="center"/>
        </w:trPr>
        <w:tc>
          <w:tcPr>
            <w:tcW w:w="25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均衡策略</w:t>
            </w:r>
          </w:p>
        </w:tc>
        <w:tc>
          <w:tcPr>
            <w:tcW w:w="6783" w:type="dxa"/>
            <w:tcBorders>
              <w:top w:val="single" w:color="000000" w:sz="4" w:space="0"/>
              <w:left w:val="nil"/>
              <w:bottom w:val="single" w:color="000000" w:sz="4" w:space="0"/>
              <w:right w:val="single" w:color="000000" w:sz="4" w:space="0"/>
            </w:tcBorders>
            <w:noWrap/>
            <w:vAlign w:val="top"/>
          </w:tcPr>
          <w:p>
            <w:pPr>
              <w:autoSpaceDE w:val="0"/>
              <w:autoSpaceDN w:val="0"/>
              <w:adjustRightInd w:val="0"/>
              <w:textAlignment w:val="baseline"/>
              <w:rPr>
                <w:rFonts w:ascii="宋体" w:hAnsi="宋体"/>
                <w:kern w:val="0"/>
                <w:szCs w:val="21"/>
              </w:rPr>
            </w:pPr>
            <w:r>
              <w:rPr>
                <w:rFonts w:hint="eastAsia" w:ascii="宋体" w:hAnsi="宋体"/>
                <w:kern w:val="0"/>
                <w:szCs w:val="21"/>
              </w:rPr>
              <w:t>支持加权轮询(Weighted Round Robin)、加权最小连接数调度(Weighted Least-Connection Scheduling)等流量分发策略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25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健康检查</w:t>
            </w:r>
          </w:p>
        </w:tc>
        <w:tc>
          <w:tcPr>
            <w:tcW w:w="6783" w:type="dxa"/>
            <w:tcBorders>
              <w:top w:val="single" w:color="000000" w:sz="4" w:space="0"/>
              <w:left w:val="nil"/>
              <w:bottom w:val="single" w:color="000000" w:sz="4" w:space="0"/>
              <w:right w:val="single" w:color="000000" w:sz="4" w:space="0"/>
            </w:tcBorders>
            <w:noWrap/>
            <w:vAlign w:val="top"/>
          </w:tcPr>
          <w:p>
            <w:pPr>
              <w:autoSpaceDE w:val="0"/>
              <w:autoSpaceDN w:val="0"/>
              <w:adjustRightInd w:val="0"/>
              <w:textAlignment w:val="baseline"/>
              <w:rPr>
                <w:rFonts w:ascii="宋体" w:hAnsi="宋体"/>
                <w:kern w:val="0"/>
                <w:szCs w:val="21"/>
              </w:rPr>
            </w:pPr>
            <w:r>
              <w:rPr>
                <w:rFonts w:hint="eastAsia" w:ascii="宋体" w:hAnsi="宋体"/>
                <w:kern w:val="0"/>
                <w:szCs w:val="21"/>
              </w:rPr>
              <w:t>可以按照指定规则对配置的虚拟主机进行健康检查，自动隔离异常状态虚拟主机，确保可用性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25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会话（Session）保持</w:t>
            </w:r>
          </w:p>
        </w:tc>
        <w:tc>
          <w:tcPr>
            <w:tcW w:w="6783" w:type="dxa"/>
            <w:tcBorders>
              <w:top w:val="single" w:color="000000" w:sz="4" w:space="0"/>
              <w:left w:val="nil"/>
              <w:bottom w:val="single" w:color="000000" w:sz="4" w:space="0"/>
              <w:right w:val="single" w:color="000000" w:sz="4" w:space="0"/>
            </w:tcBorders>
            <w:noWrap/>
            <w:vAlign w:val="top"/>
          </w:tcPr>
          <w:p>
            <w:pPr>
              <w:autoSpaceDE w:val="0"/>
              <w:autoSpaceDN w:val="0"/>
              <w:adjustRightInd w:val="0"/>
              <w:textAlignment w:val="baseline"/>
              <w:rPr>
                <w:rFonts w:ascii="宋体" w:hAnsi="宋体"/>
                <w:kern w:val="0"/>
                <w:szCs w:val="21"/>
              </w:rPr>
            </w:pPr>
            <w:r>
              <w:rPr>
                <w:rFonts w:hint="eastAsia" w:ascii="宋体" w:hAnsi="宋体"/>
                <w:kern w:val="0"/>
                <w:szCs w:val="21"/>
              </w:rPr>
              <w:t>可对虚拟主机提供TCP/HTTP协议的负载均衡服务，并提供会话保持功能，在会话生命周期内，将同一会话请求转发到同一台后端虚拟主机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jc w:val="center"/>
        </w:trPr>
        <w:tc>
          <w:tcPr>
            <w:tcW w:w="25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高可用性</w:t>
            </w:r>
          </w:p>
        </w:tc>
        <w:tc>
          <w:tcPr>
            <w:tcW w:w="6783" w:type="dxa"/>
            <w:tcBorders>
              <w:top w:val="single" w:color="000000" w:sz="4" w:space="0"/>
              <w:left w:val="nil"/>
              <w:bottom w:val="single" w:color="000000" w:sz="4" w:space="0"/>
              <w:right w:val="single" w:color="000000" w:sz="4" w:space="0"/>
            </w:tcBorders>
            <w:noWrap/>
            <w:vAlign w:val="top"/>
          </w:tcPr>
          <w:p>
            <w:pPr>
              <w:autoSpaceDE w:val="0"/>
              <w:autoSpaceDN w:val="0"/>
              <w:adjustRightInd w:val="0"/>
              <w:textAlignment w:val="baseline"/>
              <w:rPr>
                <w:rFonts w:ascii="宋体" w:hAnsi="宋体"/>
                <w:kern w:val="0"/>
                <w:szCs w:val="21"/>
              </w:rPr>
            </w:pPr>
            <w:r>
              <w:rPr>
                <w:rFonts w:hint="eastAsia" w:ascii="宋体" w:hAnsi="宋体"/>
                <w:kern w:val="0"/>
                <w:szCs w:val="21"/>
              </w:rPr>
              <w:t>采用全冗余或集群架构，无单点故障；平均可用性不低于99.99%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jc w:val="center"/>
        </w:trPr>
        <w:tc>
          <w:tcPr>
            <w:tcW w:w="25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转发规则</w:t>
            </w:r>
          </w:p>
        </w:tc>
        <w:tc>
          <w:tcPr>
            <w:tcW w:w="6783" w:type="dxa"/>
            <w:tcBorders>
              <w:top w:val="single" w:color="000000" w:sz="4" w:space="0"/>
              <w:left w:val="nil"/>
              <w:bottom w:val="single" w:color="000000" w:sz="4" w:space="0"/>
              <w:right w:val="single" w:color="000000" w:sz="4" w:space="0"/>
            </w:tcBorders>
            <w:noWrap/>
            <w:vAlign w:val="top"/>
          </w:tcPr>
          <w:p>
            <w:pPr>
              <w:autoSpaceDE w:val="0"/>
              <w:autoSpaceDN w:val="0"/>
              <w:adjustRightInd w:val="0"/>
              <w:textAlignment w:val="baseline"/>
              <w:rPr>
                <w:rFonts w:ascii="宋体" w:hAnsi="宋体"/>
                <w:kern w:val="0"/>
                <w:szCs w:val="21"/>
              </w:rPr>
            </w:pPr>
            <w:r>
              <w:rPr>
                <w:rFonts w:hint="eastAsia" w:ascii="宋体" w:hAnsi="宋体"/>
                <w:kern w:val="0"/>
                <w:szCs w:val="21"/>
              </w:rPr>
              <w:t>提供多种转发规则，满足不同业务场景的要求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25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扩展性</w:t>
            </w:r>
          </w:p>
        </w:tc>
        <w:tc>
          <w:tcPr>
            <w:tcW w:w="6783" w:type="dxa"/>
            <w:tcBorders>
              <w:top w:val="single" w:color="000000" w:sz="4" w:space="0"/>
              <w:left w:val="nil"/>
              <w:bottom w:val="single" w:color="000000" w:sz="4" w:space="0"/>
              <w:right w:val="single" w:color="000000" w:sz="4" w:space="0"/>
            </w:tcBorders>
            <w:noWrap/>
            <w:vAlign w:val="top"/>
          </w:tcPr>
          <w:p>
            <w:pPr>
              <w:autoSpaceDE w:val="0"/>
              <w:autoSpaceDN w:val="0"/>
              <w:adjustRightInd w:val="0"/>
              <w:textAlignment w:val="baseline"/>
              <w:rPr>
                <w:rFonts w:ascii="宋体" w:hAnsi="宋体"/>
                <w:kern w:val="0"/>
                <w:szCs w:val="21"/>
              </w:rPr>
            </w:pPr>
            <w:r>
              <w:rPr>
                <w:rFonts w:hint="eastAsia" w:ascii="宋体" w:hAnsi="宋体"/>
                <w:kern w:val="0"/>
                <w:szCs w:val="21"/>
              </w:rPr>
              <w:t>支持在线平滑升级，承载能力和网络总带宽同步线性扩容；可与虚拟主机配合提供三层架构系统的弹性扩展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5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可操作性</w:t>
            </w:r>
          </w:p>
        </w:tc>
        <w:tc>
          <w:tcPr>
            <w:tcW w:w="6783" w:type="dxa"/>
            <w:tcBorders>
              <w:top w:val="single" w:color="000000" w:sz="4" w:space="0"/>
              <w:left w:val="nil"/>
              <w:bottom w:val="single" w:color="000000" w:sz="4" w:space="0"/>
              <w:right w:val="single" w:color="000000" w:sz="4" w:space="0"/>
            </w:tcBorders>
            <w:noWrap/>
            <w:vAlign w:val="top"/>
          </w:tcPr>
          <w:p>
            <w:pPr>
              <w:autoSpaceDE w:val="0"/>
              <w:autoSpaceDN w:val="0"/>
              <w:adjustRightInd w:val="0"/>
              <w:textAlignment w:val="baseline"/>
              <w:rPr>
                <w:rFonts w:ascii="宋体" w:hAnsi="宋体"/>
                <w:kern w:val="0"/>
                <w:szCs w:val="21"/>
              </w:rPr>
            </w:pPr>
            <w:r>
              <w:rPr>
                <w:rFonts w:hint="eastAsia" w:ascii="宋体" w:hAnsi="宋体"/>
                <w:kern w:val="0"/>
                <w:szCs w:val="21"/>
              </w:rPr>
              <w:t>支持通过云管理平台，实现申请部署与使用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502"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color w:val="000000"/>
                <w:kern w:val="0"/>
                <w:szCs w:val="21"/>
              </w:rPr>
              <w:t>协议支持</w:t>
            </w:r>
          </w:p>
        </w:tc>
        <w:tc>
          <w:tcPr>
            <w:tcW w:w="6783" w:type="dxa"/>
            <w:tcBorders>
              <w:top w:val="single" w:color="000000" w:sz="4" w:space="0"/>
              <w:left w:val="nil"/>
              <w:bottom w:val="single" w:color="000000" w:sz="4" w:space="0"/>
              <w:right w:val="single" w:color="000000" w:sz="4" w:space="0"/>
            </w:tcBorders>
            <w:noWrap/>
            <w:vAlign w:val="top"/>
          </w:tcPr>
          <w:p>
            <w:pPr>
              <w:widowControl/>
              <w:adjustRightInd w:val="0"/>
              <w:textAlignment w:val="baseline"/>
              <w:rPr>
                <w:rFonts w:ascii="宋体" w:hAnsi="宋体"/>
                <w:kern w:val="0"/>
                <w:szCs w:val="21"/>
              </w:rPr>
            </w:pPr>
            <w:r>
              <w:rPr>
                <w:rFonts w:hint="eastAsia" w:ascii="宋体" w:hAnsi="宋体"/>
                <w:color w:val="000000"/>
                <w:kern w:val="0"/>
                <w:szCs w:val="21"/>
              </w:rPr>
              <w:t>提供 4 层（TCP 协议）和 7 层（HTTP 和 HTTPS 协议）的负载均衡服务</w:t>
            </w:r>
          </w:p>
        </w:tc>
      </w:tr>
    </w:tbl>
    <w:p>
      <w:pPr>
        <w:widowControl/>
        <w:spacing w:line="360" w:lineRule="auto"/>
        <w:ind w:firstLine="480" w:firstLineChars="200"/>
        <w:contextualSpacing/>
        <w:rPr>
          <w:sz w:val="24"/>
        </w:rPr>
      </w:pPr>
      <w:r>
        <w:rPr>
          <w:rFonts w:hint="eastAsia"/>
          <w:sz w:val="24"/>
        </w:rPr>
        <w:t>（6）远程接入技术需求</w:t>
      </w:r>
    </w:p>
    <w:tbl>
      <w:tblPr>
        <w:tblStyle w:val="7"/>
        <w:tblW w:w="928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64"/>
        <w:gridCol w:w="6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仿宋_GB2312"/>
                <w:szCs w:val="21"/>
              </w:rPr>
            </w:pPr>
            <w:r>
              <w:rPr>
                <w:rFonts w:hint="eastAsia" w:ascii="宋体" w:hAnsi="宋体" w:cs="仿宋_GB2312"/>
                <w:szCs w:val="21"/>
              </w:rPr>
              <w:t>指标项</w:t>
            </w:r>
          </w:p>
        </w:tc>
        <w:tc>
          <w:tcPr>
            <w:tcW w:w="6921" w:type="dxa"/>
            <w:tcBorders>
              <w:top w:val="single" w:color="000000" w:sz="4" w:space="0"/>
              <w:left w:val="nil"/>
              <w:bottom w:val="single" w:color="000000" w:sz="4" w:space="0"/>
              <w:right w:val="single" w:color="000000" w:sz="4" w:space="0"/>
            </w:tcBorders>
            <w:noWrap/>
            <w:vAlign w:val="top"/>
          </w:tcPr>
          <w:p>
            <w:pPr>
              <w:widowControl/>
              <w:jc w:val="center"/>
              <w:rPr>
                <w:rFonts w:ascii="宋体" w:hAnsi="宋体" w:cs="仿宋_GB2312"/>
                <w:szCs w:val="21"/>
              </w:rPr>
            </w:pPr>
            <w:r>
              <w:rPr>
                <w:rFonts w:hint="eastAsia" w:ascii="宋体" w:hAnsi="宋体" w:cs="仿宋_GB2312"/>
                <w:szCs w:val="21"/>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6" w:hRule="atLeast"/>
          <w:jc w:val="center"/>
        </w:trPr>
        <w:tc>
          <w:tcPr>
            <w:tcW w:w="2364"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ind w:firstLine="420"/>
              <w:jc w:val="center"/>
              <w:textAlignment w:val="baseline"/>
              <w:rPr>
                <w:rFonts w:ascii="宋体" w:hAnsi="宋体"/>
                <w:kern w:val="0"/>
                <w:szCs w:val="21"/>
              </w:rPr>
            </w:pPr>
            <w:r>
              <w:rPr>
                <w:rFonts w:hint="eastAsia" w:ascii="宋体" w:hAnsi="宋体"/>
                <w:kern w:val="0"/>
                <w:szCs w:val="21"/>
              </w:rPr>
              <w:t>功能要求</w:t>
            </w:r>
          </w:p>
        </w:tc>
        <w:tc>
          <w:tcPr>
            <w:tcW w:w="6921" w:type="dxa"/>
            <w:tcBorders>
              <w:top w:val="single" w:color="000000" w:sz="4" w:space="0"/>
              <w:left w:val="nil"/>
              <w:bottom w:val="single" w:color="000000" w:sz="4" w:space="0"/>
              <w:right w:val="single" w:color="000000" w:sz="4" w:space="0"/>
            </w:tcBorders>
            <w:noWrap/>
            <w:vAlign w:val="top"/>
          </w:tcPr>
          <w:p>
            <w:pPr>
              <w:widowControl/>
              <w:adjustRightInd w:val="0"/>
              <w:textAlignment w:val="baseline"/>
              <w:rPr>
                <w:rFonts w:ascii="宋体" w:hAnsi="宋体"/>
                <w:color w:val="000000"/>
                <w:kern w:val="0"/>
                <w:szCs w:val="21"/>
              </w:rPr>
            </w:pPr>
            <w:r>
              <w:rPr>
                <w:rFonts w:hint="eastAsia" w:ascii="宋体" w:hAnsi="宋体"/>
                <w:color w:val="000000"/>
                <w:kern w:val="0"/>
                <w:szCs w:val="21"/>
              </w:rPr>
              <w:t>提供堡垒机远程接入服务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 w:hRule="atLeast"/>
          <w:jc w:val="center"/>
        </w:trPr>
        <w:tc>
          <w:tcPr>
            <w:tcW w:w="2364"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ind w:firstLine="420"/>
              <w:jc w:val="center"/>
              <w:textAlignment w:val="baseline"/>
              <w:rPr>
                <w:rFonts w:ascii="宋体" w:hAnsi="宋体"/>
                <w:kern w:val="0"/>
                <w:szCs w:val="21"/>
              </w:rPr>
            </w:pPr>
            <w:r>
              <w:rPr>
                <w:rFonts w:hint="eastAsia" w:ascii="宋体" w:hAnsi="宋体"/>
                <w:kern w:val="0"/>
                <w:szCs w:val="21"/>
              </w:rPr>
              <w:t>运维审计</w:t>
            </w:r>
          </w:p>
        </w:tc>
        <w:tc>
          <w:tcPr>
            <w:tcW w:w="6921" w:type="dxa"/>
            <w:tcBorders>
              <w:top w:val="single" w:color="000000" w:sz="4" w:space="0"/>
              <w:left w:val="nil"/>
              <w:bottom w:val="single" w:color="000000" w:sz="4" w:space="0"/>
              <w:right w:val="single" w:color="000000" w:sz="4" w:space="0"/>
            </w:tcBorders>
            <w:noWrap/>
            <w:vAlign w:val="top"/>
          </w:tcPr>
          <w:p>
            <w:pPr>
              <w:widowControl/>
              <w:adjustRightInd w:val="0"/>
              <w:textAlignment w:val="baseline"/>
              <w:rPr>
                <w:rFonts w:ascii="宋体" w:hAnsi="宋体"/>
                <w:color w:val="000000"/>
                <w:kern w:val="0"/>
                <w:szCs w:val="21"/>
              </w:rPr>
            </w:pPr>
            <w:r>
              <w:rPr>
                <w:rFonts w:hint="eastAsia" w:ascii="宋体" w:hAnsi="宋体"/>
                <w:color w:val="000000"/>
                <w:kern w:val="0"/>
                <w:szCs w:val="21"/>
              </w:rPr>
              <w:t>字符操作审计、图形操作审计、文件操作审计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2364" w:type="dxa"/>
            <w:vMerge w:val="restart"/>
            <w:tcBorders>
              <w:top w:val="nil"/>
              <w:left w:val="single" w:color="000000" w:sz="4" w:space="0"/>
              <w:bottom w:val="single" w:color="000000" w:sz="4" w:space="0"/>
              <w:right w:val="single" w:color="000000" w:sz="4" w:space="0"/>
            </w:tcBorders>
            <w:noWrap/>
            <w:vAlign w:val="center"/>
          </w:tcPr>
          <w:p>
            <w:pPr>
              <w:autoSpaceDE w:val="0"/>
              <w:autoSpaceDN w:val="0"/>
              <w:adjustRightInd w:val="0"/>
              <w:ind w:firstLine="420"/>
              <w:jc w:val="center"/>
              <w:textAlignment w:val="baseline"/>
              <w:rPr>
                <w:rFonts w:ascii="宋体" w:hAnsi="宋体"/>
                <w:kern w:val="0"/>
                <w:szCs w:val="21"/>
              </w:rPr>
            </w:pPr>
            <w:r>
              <w:rPr>
                <w:rFonts w:hint="eastAsia" w:ascii="宋体" w:hAnsi="宋体"/>
                <w:kern w:val="0"/>
                <w:szCs w:val="21"/>
              </w:rPr>
              <w:t>访问控制</w:t>
            </w:r>
          </w:p>
        </w:tc>
        <w:tc>
          <w:tcPr>
            <w:tcW w:w="6921" w:type="dxa"/>
            <w:tcBorders>
              <w:top w:val="single" w:color="000000" w:sz="4" w:space="0"/>
              <w:left w:val="nil"/>
              <w:bottom w:val="single" w:color="000000" w:sz="4" w:space="0"/>
              <w:right w:val="single" w:color="000000" w:sz="4" w:space="0"/>
            </w:tcBorders>
            <w:noWrap/>
            <w:vAlign w:val="top"/>
          </w:tcPr>
          <w:p>
            <w:pPr>
              <w:widowControl/>
              <w:adjustRightInd w:val="0"/>
              <w:textAlignment w:val="baseline"/>
              <w:rPr>
                <w:rFonts w:ascii="宋体" w:hAnsi="宋体"/>
                <w:color w:val="000000"/>
                <w:kern w:val="0"/>
                <w:szCs w:val="21"/>
              </w:rPr>
            </w:pPr>
            <w:r>
              <w:rPr>
                <w:rFonts w:hint="eastAsia" w:ascii="宋体" w:hAnsi="宋体"/>
                <w:color w:val="000000"/>
                <w:kern w:val="0"/>
                <w:szCs w:val="21"/>
              </w:rPr>
              <w:t>支持基于IP/IP段、用户/用户组、资产/资产组、协议、危险级别等组合策略进行访问控制，对于不合法的行为予以阻断；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2364" w:type="dxa"/>
            <w:vMerge w:val="continue"/>
            <w:tcBorders>
              <w:top w:val="nil"/>
              <w:left w:val="single" w:color="000000" w:sz="4" w:space="0"/>
              <w:bottom w:val="single" w:color="000000" w:sz="4" w:space="0"/>
              <w:right w:val="single" w:color="000000" w:sz="4" w:space="0"/>
            </w:tcBorders>
            <w:noWrap/>
            <w:vAlign w:val="center"/>
          </w:tcPr>
          <w:p>
            <w:pPr>
              <w:widowControl/>
              <w:rPr>
                <w:rFonts w:ascii="宋体" w:hAnsi="宋体"/>
                <w:kern w:val="0"/>
                <w:szCs w:val="21"/>
              </w:rPr>
            </w:pPr>
          </w:p>
        </w:tc>
        <w:tc>
          <w:tcPr>
            <w:tcW w:w="6921" w:type="dxa"/>
            <w:tcBorders>
              <w:top w:val="single" w:color="000000" w:sz="4" w:space="0"/>
              <w:left w:val="nil"/>
              <w:bottom w:val="single" w:color="000000" w:sz="4" w:space="0"/>
              <w:right w:val="single" w:color="000000" w:sz="4" w:space="0"/>
            </w:tcBorders>
            <w:noWrap/>
            <w:vAlign w:val="top"/>
          </w:tcPr>
          <w:p>
            <w:pPr>
              <w:widowControl/>
              <w:adjustRightInd w:val="0"/>
              <w:textAlignment w:val="baseline"/>
              <w:rPr>
                <w:rFonts w:ascii="宋体" w:hAnsi="宋体"/>
                <w:color w:val="000000"/>
                <w:kern w:val="0"/>
                <w:szCs w:val="21"/>
              </w:rPr>
            </w:pPr>
            <w:r>
              <w:rPr>
                <w:rFonts w:hint="eastAsia" w:ascii="宋体" w:hAnsi="宋体"/>
                <w:color w:val="000000"/>
                <w:kern w:val="0"/>
                <w:szCs w:val="21"/>
              </w:rPr>
              <w:t>可基于运维账号的登陆时间和资产登陆时间进行访问控制；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2364" w:type="dxa"/>
            <w:vMerge w:val="continue"/>
            <w:tcBorders>
              <w:top w:val="nil"/>
              <w:left w:val="single" w:color="000000" w:sz="4" w:space="0"/>
              <w:bottom w:val="single" w:color="000000" w:sz="4" w:space="0"/>
              <w:right w:val="single" w:color="000000" w:sz="4" w:space="0"/>
            </w:tcBorders>
            <w:noWrap/>
            <w:vAlign w:val="center"/>
          </w:tcPr>
          <w:p>
            <w:pPr>
              <w:widowControl/>
              <w:rPr>
                <w:rFonts w:ascii="宋体" w:hAnsi="宋体"/>
                <w:kern w:val="0"/>
                <w:szCs w:val="21"/>
              </w:rPr>
            </w:pPr>
          </w:p>
        </w:tc>
        <w:tc>
          <w:tcPr>
            <w:tcW w:w="6921" w:type="dxa"/>
            <w:tcBorders>
              <w:top w:val="single" w:color="000000" w:sz="4" w:space="0"/>
              <w:left w:val="nil"/>
              <w:bottom w:val="single" w:color="000000" w:sz="4" w:space="0"/>
              <w:right w:val="single" w:color="000000" w:sz="4" w:space="0"/>
            </w:tcBorders>
            <w:noWrap/>
            <w:vAlign w:val="top"/>
          </w:tcPr>
          <w:p>
            <w:pPr>
              <w:widowControl/>
              <w:adjustRightInd w:val="0"/>
              <w:textAlignment w:val="baseline"/>
              <w:rPr>
                <w:rFonts w:ascii="宋体" w:hAnsi="宋体"/>
                <w:color w:val="000000"/>
                <w:kern w:val="0"/>
                <w:szCs w:val="21"/>
              </w:rPr>
            </w:pPr>
            <w:r>
              <w:rPr>
                <w:rFonts w:hint="eastAsia" w:ascii="宋体" w:hAnsi="宋体"/>
                <w:color w:val="000000"/>
                <w:kern w:val="0"/>
                <w:szCs w:val="21"/>
              </w:rPr>
              <w:t>可基于运维操作命令进行访问控制；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2364" w:type="dxa"/>
            <w:vMerge w:val="continue"/>
            <w:tcBorders>
              <w:top w:val="nil"/>
              <w:left w:val="single" w:color="000000" w:sz="4" w:space="0"/>
              <w:bottom w:val="single" w:color="000000" w:sz="4" w:space="0"/>
              <w:right w:val="single" w:color="000000" w:sz="4" w:space="0"/>
            </w:tcBorders>
            <w:noWrap/>
            <w:vAlign w:val="center"/>
          </w:tcPr>
          <w:p>
            <w:pPr>
              <w:widowControl/>
              <w:rPr>
                <w:rFonts w:ascii="宋体" w:hAnsi="宋体"/>
                <w:kern w:val="0"/>
                <w:szCs w:val="21"/>
              </w:rPr>
            </w:pPr>
          </w:p>
        </w:tc>
        <w:tc>
          <w:tcPr>
            <w:tcW w:w="6921" w:type="dxa"/>
            <w:tcBorders>
              <w:top w:val="single" w:color="000000" w:sz="4" w:space="0"/>
              <w:left w:val="nil"/>
              <w:bottom w:val="single" w:color="000000" w:sz="4" w:space="0"/>
              <w:right w:val="single" w:color="000000" w:sz="4" w:space="0"/>
            </w:tcBorders>
            <w:noWrap/>
            <w:vAlign w:val="top"/>
          </w:tcPr>
          <w:p>
            <w:pPr>
              <w:widowControl/>
              <w:adjustRightInd w:val="0"/>
              <w:textAlignment w:val="baseline"/>
              <w:rPr>
                <w:rFonts w:ascii="宋体" w:hAnsi="宋体"/>
                <w:color w:val="000000"/>
                <w:kern w:val="0"/>
                <w:szCs w:val="21"/>
              </w:rPr>
            </w:pPr>
            <w:r>
              <w:rPr>
                <w:rFonts w:hint="eastAsia" w:ascii="宋体" w:hAnsi="宋体"/>
                <w:color w:val="000000"/>
                <w:kern w:val="0"/>
                <w:szCs w:val="21"/>
              </w:rPr>
              <w:t>可基于主机、用户、IP地址控制审计日志的访问权限；</w:t>
            </w:r>
          </w:p>
        </w:tc>
      </w:tr>
    </w:tbl>
    <w:p>
      <w:pPr>
        <w:widowControl/>
        <w:spacing w:line="360" w:lineRule="auto"/>
        <w:ind w:firstLine="480" w:firstLineChars="200"/>
        <w:contextualSpacing/>
        <w:rPr>
          <w:sz w:val="24"/>
        </w:rPr>
      </w:pPr>
      <w:r>
        <w:rPr>
          <w:rFonts w:hint="eastAsia"/>
          <w:sz w:val="24"/>
        </w:rPr>
        <w:t>（7）WAF防护技术需求</w:t>
      </w:r>
    </w:p>
    <w:tbl>
      <w:tblPr>
        <w:tblStyle w:val="7"/>
        <w:tblW w:w="928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5"/>
        <w:gridCol w:w="6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jc w:val="center"/>
        </w:trPr>
        <w:tc>
          <w:tcPr>
            <w:tcW w:w="248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仿宋_GB2312"/>
                <w:szCs w:val="21"/>
              </w:rPr>
            </w:pPr>
            <w:r>
              <w:rPr>
                <w:rFonts w:hint="eastAsia" w:ascii="宋体" w:hAnsi="宋体" w:cs="仿宋_GB2312"/>
                <w:szCs w:val="21"/>
              </w:rPr>
              <w:t>指标项</w:t>
            </w:r>
          </w:p>
        </w:tc>
        <w:tc>
          <w:tcPr>
            <w:tcW w:w="6800" w:type="dxa"/>
            <w:tcBorders>
              <w:top w:val="single" w:color="000000" w:sz="4" w:space="0"/>
              <w:left w:val="nil"/>
              <w:bottom w:val="single" w:color="000000" w:sz="4" w:space="0"/>
              <w:right w:val="single" w:color="000000" w:sz="4" w:space="0"/>
            </w:tcBorders>
            <w:noWrap/>
            <w:vAlign w:val="top"/>
          </w:tcPr>
          <w:p>
            <w:pPr>
              <w:widowControl/>
              <w:jc w:val="center"/>
              <w:rPr>
                <w:rFonts w:ascii="宋体" w:hAnsi="宋体" w:cs="仿宋_GB2312"/>
                <w:szCs w:val="21"/>
              </w:rPr>
            </w:pPr>
            <w:r>
              <w:rPr>
                <w:rFonts w:hint="eastAsia" w:ascii="宋体" w:hAnsi="宋体" w:cs="仿宋_GB2312"/>
                <w:szCs w:val="21"/>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jc w:val="center"/>
        </w:trPr>
        <w:tc>
          <w:tcPr>
            <w:tcW w:w="2485"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检测算法</w:t>
            </w:r>
          </w:p>
        </w:tc>
        <w:tc>
          <w:tcPr>
            <w:tcW w:w="6800" w:type="dxa"/>
            <w:tcBorders>
              <w:top w:val="single" w:color="000000" w:sz="4" w:space="0"/>
              <w:left w:val="nil"/>
              <w:bottom w:val="single" w:color="000000" w:sz="4" w:space="0"/>
              <w:right w:val="single" w:color="000000" w:sz="4" w:space="0"/>
            </w:tcBorders>
            <w:noWrap/>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可精确识别包括注入、XSS等OWASP Top 10 WEB通用攻击，有效应对盗链、跨站请求伪造等WEB特殊攻击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jc w:val="center"/>
        </w:trPr>
        <w:tc>
          <w:tcPr>
            <w:tcW w:w="2485"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部署方式</w:t>
            </w:r>
          </w:p>
        </w:tc>
        <w:tc>
          <w:tcPr>
            <w:tcW w:w="6800" w:type="dxa"/>
            <w:tcBorders>
              <w:top w:val="single" w:color="000000" w:sz="4" w:space="0"/>
              <w:left w:val="nil"/>
              <w:bottom w:val="single" w:color="000000" w:sz="4" w:space="0"/>
              <w:right w:val="single" w:color="000000" w:sz="4" w:space="0"/>
            </w:tcBorders>
            <w:noWrap/>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可以通过透明串接或反向代理、路由模式等方式接入网络中，即可对应用层HTTP流量进行安全防护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jc w:val="center"/>
        </w:trPr>
        <w:tc>
          <w:tcPr>
            <w:tcW w:w="2485"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黑名单</w:t>
            </w:r>
          </w:p>
        </w:tc>
        <w:tc>
          <w:tcPr>
            <w:tcW w:w="6800" w:type="dxa"/>
            <w:tcBorders>
              <w:top w:val="single" w:color="000000" w:sz="4" w:space="0"/>
              <w:left w:val="nil"/>
              <w:bottom w:val="single" w:color="000000" w:sz="4" w:space="0"/>
              <w:right w:val="single" w:color="000000" w:sz="4" w:space="0"/>
            </w:tcBorders>
            <w:noWrap/>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通过预定义策略及自定义规则，进行规则匹配，阻断异常流量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2485"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jc w:val="center"/>
              <w:textAlignment w:val="baseline"/>
              <w:rPr>
                <w:rFonts w:ascii="宋体" w:hAnsi="宋体"/>
                <w:kern w:val="0"/>
                <w:szCs w:val="21"/>
              </w:rPr>
            </w:pPr>
            <w:r>
              <w:rPr>
                <w:rFonts w:hint="eastAsia" w:ascii="宋体" w:hAnsi="宋体"/>
                <w:kern w:val="0"/>
                <w:szCs w:val="21"/>
              </w:rPr>
              <w:t>可操作性</w:t>
            </w:r>
          </w:p>
        </w:tc>
        <w:tc>
          <w:tcPr>
            <w:tcW w:w="6800" w:type="dxa"/>
            <w:tcBorders>
              <w:top w:val="single" w:color="000000" w:sz="4" w:space="0"/>
              <w:left w:val="nil"/>
              <w:bottom w:val="single" w:color="000000" w:sz="4" w:space="0"/>
              <w:right w:val="single" w:color="000000" w:sz="4" w:space="0"/>
            </w:tcBorders>
            <w:noWrap/>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支持通过云管理平台，实现申请部署与使用</w:t>
            </w:r>
          </w:p>
        </w:tc>
      </w:tr>
    </w:tbl>
    <w:p>
      <w:pPr>
        <w:widowControl/>
        <w:spacing w:line="360" w:lineRule="auto"/>
        <w:ind w:firstLine="480" w:firstLineChars="200"/>
        <w:contextualSpacing/>
        <w:rPr>
          <w:sz w:val="24"/>
        </w:rPr>
      </w:pPr>
      <w:r>
        <w:rPr>
          <w:rFonts w:hint="eastAsia"/>
          <w:sz w:val="24"/>
        </w:rPr>
        <w:t>（</w:t>
      </w:r>
      <w:r>
        <w:rPr>
          <w:rFonts w:hint="eastAsia"/>
          <w:sz w:val="24"/>
          <w:lang w:val="en-US" w:eastAsia="zh-CN"/>
        </w:rPr>
        <w:t>8</w:t>
      </w:r>
      <w:r>
        <w:rPr>
          <w:rFonts w:hint="eastAsia"/>
          <w:sz w:val="24"/>
        </w:rPr>
        <w:t>）云平台技术整体需求</w:t>
      </w:r>
    </w:p>
    <w:tbl>
      <w:tblPr>
        <w:tblStyle w:val="7"/>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49" w:type="dxa"/>
            <w:noWrap/>
            <w:vAlign w:val="center"/>
          </w:tcPr>
          <w:p>
            <w:pPr>
              <w:widowControl/>
              <w:jc w:val="center"/>
              <w:rPr>
                <w:rFonts w:ascii="宋体" w:hAnsi="宋体" w:cs="仿宋_GB2312"/>
                <w:szCs w:val="21"/>
              </w:rPr>
            </w:pPr>
            <w:r>
              <w:rPr>
                <w:rFonts w:hint="eastAsia" w:ascii="宋体" w:hAnsi="宋体" w:cs="仿宋_GB2312"/>
                <w:szCs w:val="21"/>
              </w:rPr>
              <w:t>指标项</w:t>
            </w:r>
          </w:p>
        </w:tc>
        <w:tc>
          <w:tcPr>
            <w:tcW w:w="8436" w:type="dxa"/>
            <w:noWrap/>
            <w:vAlign w:val="center"/>
          </w:tcPr>
          <w:p>
            <w:pPr>
              <w:widowControl/>
              <w:jc w:val="center"/>
              <w:rPr>
                <w:rFonts w:ascii="宋体" w:hAnsi="宋体" w:cs="仿宋_GB2312"/>
                <w:szCs w:val="21"/>
              </w:rPr>
            </w:pPr>
            <w:r>
              <w:rPr>
                <w:rFonts w:hint="eastAsia" w:ascii="宋体" w:hAnsi="宋体" w:cs="仿宋_GB2312"/>
                <w:szCs w:val="21"/>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49" w:type="dxa"/>
            <w:vMerge w:val="restart"/>
            <w:noWrap/>
            <w:vAlign w:val="center"/>
          </w:tcPr>
          <w:p>
            <w:pPr>
              <w:rPr>
                <w:rFonts w:ascii="宋体" w:hAnsi="宋体" w:cs="仿宋_GB2312"/>
                <w:szCs w:val="21"/>
              </w:rPr>
            </w:pPr>
            <w:r>
              <w:rPr>
                <w:rFonts w:hint="eastAsia" w:ascii="宋体" w:hAnsi="宋体" w:cs="仿宋_GB2312"/>
                <w:szCs w:val="21"/>
              </w:rPr>
              <w:t>基本要求</w:t>
            </w:r>
          </w:p>
        </w:tc>
        <w:tc>
          <w:tcPr>
            <w:tcW w:w="8436" w:type="dxa"/>
            <w:noWrap/>
            <w:vAlign w:val="center"/>
          </w:tcPr>
          <w:p>
            <w:pPr>
              <w:rPr>
                <w:rFonts w:ascii="宋体" w:hAnsi="宋体" w:cs="仿宋_GB2312"/>
                <w:szCs w:val="21"/>
              </w:rPr>
            </w:pPr>
            <w:r>
              <w:rPr>
                <w:rFonts w:hint="eastAsia" w:ascii="宋体" w:hAnsi="宋体" w:cs="仿宋_GB2312"/>
                <w:szCs w:val="21"/>
              </w:rPr>
              <w:t>云平台应具备不低于99.99%可用性标准，可支持用户自主配置主机、存储、网络、安全等资源，支持定制化开发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49" w:type="dxa"/>
            <w:vMerge w:val="continue"/>
            <w:noWrap/>
            <w:vAlign w:val="center"/>
          </w:tcPr>
          <w:p>
            <w:pPr>
              <w:widowControl/>
              <w:rPr>
                <w:rFonts w:ascii="宋体" w:hAnsi="宋体" w:cs="仿宋_GB2312"/>
                <w:szCs w:val="21"/>
              </w:rPr>
            </w:pPr>
          </w:p>
        </w:tc>
        <w:tc>
          <w:tcPr>
            <w:tcW w:w="8436" w:type="dxa"/>
            <w:noWrap/>
            <w:vAlign w:val="center"/>
          </w:tcPr>
          <w:p>
            <w:pPr>
              <w:rPr>
                <w:rFonts w:ascii="宋体" w:hAnsi="宋体" w:cs="仿宋_GB2312"/>
                <w:szCs w:val="21"/>
              </w:rPr>
            </w:pPr>
            <w:r>
              <w:rPr>
                <w:rFonts w:hint="eastAsia" w:ascii="宋体" w:hAnsi="宋体" w:cs="仿宋_GB2312"/>
                <w:szCs w:val="21"/>
              </w:rPr>
              <w:t>支持数据中心资源动态伸缩，可根据业务压力随时调整虚拟机数量，伸缩策略包含定时任务、告警触发策略等；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49" w:type="dxa"/>
            <w:vMerge w:val="continue"/>
            <w:noWrap/>
            <w:vAlign w:val="center"/>
          </w:tcPr>
          <w:p>
            <w:pPr>
              <w:widowControl/>
              <w:rPr>
                <w:rFonts w:ascii="宋体" w:hAnsi="宋体" w:cs="仿宋_GB2312"/>
                <w:szCs w:val="21"/>
              </w:rPr>
            </w:pPr>
          </w:p>
        </w:tc>
        <w:tc>
          <w:tcPr>
            <w:tcW w:w="8436" w:type="dxa"/>
            <w:noWrap/>
            <w:vAlign w:val="center"/>
          </w:tcPr>
          <w:p>
            <w:pPr>
              <w:rPr>
                <w:rFonts w:ascii="宋体" w:hAnsi="宋体" w:cs="仿宋_GB2312"/>
                <w:szCs w:val="21"/>
              </w:rPr>
            </w:pPr>
            <w:r>
              <w:rPr>
                <w:rFonts w:hint="eastAsia" w:ascii="宋体" w:hAnsi="宋体" w:cs="仿宋_GB2312"/>
                <w:szCs w:val="21"/>
              </w:rPr>
              <w:t>支持对虚拟机CPU、内存、存储、带宽进行实时监控，并支持自定义告警规则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49" w:type="dxa"/>
            <w:vMerge w:val="continue"/>
            <w:noWrap/>
            <w:vAlign w:val="center"/>
          </w:tcPr>
          <w:p>
            <w:pPr>
              <w:widowControl/>
              <w:rPr>
                <w:rFonts w:ascii="宋体" w:hAnsi="宋体" w:cs="仿宋_GB2312"/>
                <w:szCs w:val="21"/>
              </w:rPr>
            </w:pPr>
          </w:p>
        </w:tc>
        <w:tc>
          <w:tcPr>
            <w:tcW w:w="8436" w:type="dxa"/>
            <w:noWrap/>
            <w:vAlign w:val="center"/>
          </w:tcPr>
          <w:p>
            <w:pPr>
              <w:rPr>
                <w:rFonts w:ascii="宋体" w:hAnsi="宋体" w:cs="仿宋_GB2312"/>
                <w:szCs w:val="21"/>
              </w:rPr>
            </w:pPr>
            <w:r>
              <w:rPr>
                <w:rFonts w:hint="eastAsia" w:ascii="宋体" w:hAnsi="宋体" w:cs="仿宋_GB2312"/>
                <w:szCs w:val="21"/>
              </w:rPr>
              <w:t xml:space="preserve">支持用户自定义虚拟主机专用网络或VLAN，并支持7层和4层的软件负载均衡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49" w:type="dxa"/>
            <w:vMerge w:val="continue"/>
            <w:noWrap/>
            <w:vAlign w:val="center"/>
          </w:tcPr>
          <w:p>
            <w:pPr>
              <w:widowControl/>
              <w:rPr>
                <w:rFonts w:ascii="宋体" w:hAnsi="宋体" w:cs="仿宋_GB2312"/>
                <w:szCs w:val="21"/>
              </w:rPr>
            </w:pPr>
          </w:p>
        </w:tc>
        <w:tc>
          <w:tcPr>
            <w:tcW w:w="8436" w:type="dxa"/>
            <w:noWrap/>
            <w:vAlign w:val="center"/>
          </w:tcPr>
          <w:p>
            <w:r>
              <w:rPr>
                <w:rFonts w:hint="eastAsia" w:ascii="宋体" w:hAnsi="宋体" w:cs="仿宋_GB2312"/>
                <w:szCs w:val="21"/>
              </w:rPr>
              <w:t>支持提供专属宿主机，要求支持根据自身业务情况调整CPU虚拟核数，要求提供设置虚拟核数功能；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849" w:type="dxa"/>
            <w:vMerge w:val="continue"/>
            <w:noWrap/>
            <w:vAlign w:val="center"/>
          </w:tcPr>
          <w:p>
            <w:pPr>
              <w:widowControl/>
              <w:rPr>
                <w:rFonts w:ascii="宋体" w:hAnsi="宋体" w:cs="仿宋_GB2312"/>
                <w:szCs w:val="21"/>
              </w:rPr>
            </w:pPr>
          </w:p>
        </w:tc>
        <w:tc>
          <w:tcPr>
            <w:tcW w:w="8436" w:type="dxa"/>
            <w:noWrap/>
            <w:vAlign w:val="center"/>
          </w:tcPr>
          <w:p>
            <w:pPr>
              <w:rPr>
                <w:rFonts w:ascii="宋体" w:hAnsi="宋体" w:cs="仿宋_GB2312"/>
                <w:szCs w:val="21"/>
              </w:rPr>
            </w:pPr>
            <w:r>
              <w:rPr>
                <w:rFonts w:hint="eastAsia" w:ascii="宋体" w:hAnsi="宋体" w:cs="仿宋_GB2312"/>
                <w:szCs w:val="21"/>
              </w:rPr>
              <w:t>支持用户自主进行虚拟资源的新建、添加、删除、启动、停止、资源释放和回收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849" w:type="dxa"/>
            <w:vMerge w:val="continue"/>
            <w:noWrap/>
            <w:vAlign w:val="center"/>
          </w:tcPr>
          <w:p>
            <w:pPr>
              <w:widowControl/>
              <w:rPr>
                <w:rFonts w:ascii="宋体" w:hAnsi="宋体" w:cs="仿宋_GB2312"/>
                <w:szCs w:val="21"/>
              </w:rPr>
            </w:pPr>
          </w:p>
        </w:tc>
        <w:tc>
          <w:tcPr>
            <w:tcW w:w="8436" w:type="dxa"/>
            <w:noWrap/>
            <w:vAlign w:val="center"/>
          </w:tcPr>
          <w:p>
            <w:pPr>
              <w:rPr>
                <w:rFonts w:ascii="宋体" w:hAnsi="宋体" w:cs="仿宋_GB2312"/>
                <w:szCs w:val="21"/>
              </w:rPr>
            </w:pPr>
            <w:r>
              <w:rPr>
                <w:rFonts w:hint="eastAsia" w:ascii="宋体" w:hAnsi="宋体" w:cs="仿宋_GB2312"/>
                <w:szCs w:val="21"/>
              </w:rPr>
              <w:t>支持多种虚拟机调度模式，松散调度、紧凑调度、高可用调度等调度策略。</w:t>
            </w:r>
          </w:p>
        </w:tc>
      </w:tr>
    </w:tbl>
    <w:p>
      <w:pPr>
        <w:widowControl/>
        <w:spacing w:line="360" w:lineRule="auto"/>
        <w:ind w:firstLine="480" w:firstLineChars="200"/>
        <w:contextualSpacing/>
        <w:rPr>
          <w:sz w:val="24"/>
        </w:rPr>
      </w:pPr>
      <w:r>
        <w:rPr>
          <w:sz w:val="24"/>
        </w:rPr>
        <w:t>2.</w:t>
      </w:r>
      <w:r>
        <w:rPr>
          <w:rFonts w:hint="eastAsia"/>
          <w:sz w:val="24"/>
          <w:lang w:val="en-US" w:eastAsia="zh-CN"/>
        </w:rPr>
        <w:t>2</w:t>
      </w:r>
      <w:r>
        <w:rPr>
          <w:sz w:val="24"/>
        </w:rPr>
        <w:t>采购标的的其他技术、服务等要求</w:t>
      </w:r>
    </w:p>
    <w:p>
      <w:pPr>
        <w:widowControl/>
        <w:spacing w:line="360" w:lineRule="auto"/>
        <w:ind w:firstLine="480" w:firstLineChars="200"/>
        <w:contextualSpacing/>
        <w:rPr>
          <w:sz w:val="24"/>
        </w:rPr>
      </w:pPr>
      <w:r>
        <w:rPr>
          <w:rFonts w:hint="eastAsia"/>
          <w:sz w:val="24"/>
        </w:rPr>
        <w:t>1.计算服务</w:t>
      </w:r>
    </w:p>
    <w:p>
      <w:pPr>
        <w:widowControl/>
        <w:spacing w:line="360" w:lineRule="auto"/>
        <w:ind w:firstLine="480" w:firstLineChars="200"/>
        <w:contextualSpacing/>
        <w:rPr>
          <w:sz w:val="24"/>
        </w:rPr>
      </w:pPr>
      <w:r>
        <w:rPr>
          <w:rFonts w:hint="eastAsia"/>
          <w:sz w:val="24"/>
        </w:rPr>
        <w:t>按照需求对vCPU及内存进行动态调整，自接到工单至完成调整时间不超过4小时。</w:t>
      </w:r>
    </w:p>
    <w:p>
      <w:pPr>
        <w:widowControl/>
        <w:spacing w:line="360" w:lineRule="auto"/>
        <w:ind w:firstLine="480" w:firstLineChars="200"/>
        <w:contextualSpacing/>
        <w:rPr>
          <w:sz w:val="24"/>
        </w:rPr>
      </w:pPr>
      <w:r>
        <w:rPr>
          <w:rFonts w:hint="eastAsia"/>
          <w:sz w:val="24"/>
        </w:rPr>
        <w:t>2.存储服务</w:t>
      </w:r>
    </w:p>
    <w:p>
      <w:pPr>
        <w:widowControl/>
        <w:spacing w:line="360" w:lineRule="auto"/>
        <w:ind w:firstLine="480" w:firstLineChars="200"/>
        <w:contextualSpacing/>
        <w:rPr>
          <w:sz w:val="24"/>
        </w:rPr>
      </w:pPr>
      <w:r>
        <w:rPr>
          <w:rFonts w:hint="eastAsia"/>
          <w:sz w:val="24"/>
        </w:rPr>
        <w:t>提供单盘IOPS 3000-20000的高性能存储服务、单盘IPOS 1000-3000的普通存储服务（包括备份存储空间），以及大容量、高可靠、具备PB级线性扩展能力的静态存储服务。按照需求对存储空间和配置进行动态调整。提供本地备份服务。通过制定备份策略实现文件、操作系统、数据库的本地备份，并支持云主机快照功能。支持按照备份文件、快照文件的数据恢复。</w:t>
      </w:r>
    </w:p>
    <w:p>
      <w:pPr>
        <w:widowControl/>
        <w:spacing w:line="360" w:lineRule="auto"/>
        <w:ind w:firstLine="480" w:firstLineChars="200"/>
        <w:contextualSpacing/>
        <w:rPr>
          <w:sz w:val="24"/>
        </w:rPr>
      </w:pPr>
      <w:r>
        <w:rPr>
          <w:rFonts w:hint="eastAsia"/>
          <w:sz w:val="24"/>
        </w:rPr>
        <w:t>3.网络服务</w:t>
      </w:r>
    </w:p>
    <w:p>
      <w:pPr>
        <w:widowControl/>
        <w:spacing w:line="360" w:lineRule="auto"/>
        <w:ind w:firstLine="480" w:firstLineChars="200"/>
        <w:contextualSpacing/>
        <w:rPr>
          <w:sz w:val="24"/>
        </w:rPr>
      </w:pPr>
      <w:r>
        <w:rPr>
          <w:rFonts w:hint="eastAsia"/>
          <w:sz w:val="24"/>
        </w:rPr>
        <w:t>提供链路带宽服务及互联网IP地址租用服务，并提供相应的网络域名备案服务，按照管理部门要求,配合系统应用厂商提供网络策略配置服务；</w:t>
      </w:r>
    </w:p>
    <w:p>
      <w:pPr>
        <w:widowControl/>
        <w:spacing w:line="360" w:lineRule="auto"/>
        <w:ind w:firstLine="480" w:firstLineChars="200"/>
        <w:contextualSpacing/>
        <w:rPr>
          <w:sz w:val="24"/>
        </w:rPr>
      </w:pPr>
      <w:r>
        <w:rPr>
          <w:rFonts w:hint="eastAsia"/>
          <w:sz w:val="24"/>
        </w:rPr>
        <w:t>提供主机负载均衡服务，实现主机应用集群的负载均衡；</w:t>
      </w:r>
    </w:p>
    <w:p>
      <w:pPr>
        <w:widowControl/>
        <w:spacing w:line="360" w:lineRule="auto"/>
        <w:ind w:firstLine="480" w:firstLineChars="200"/>
        <w:contextualSpacing/>
        <w:rPr>
          <w:sz w:val="24"/>
        </w:rPr>
      </w:pPr>
      <w:r>
        <w:rPr>
          <w:rFonts w:hint="eastAsia"/>
          <w:sz w:val="24"/>
        </w:rPr>
        <w:t>提供远程接入服务，每个账号结合身份验证通过VPN远程接入堡垒机维护应用系统；</w:t>
      </w:r>
    </w:p>
    <w:p>
      <w:pPr>
        <w:widowControl/>
        <w:spacing w:line="360" w:lineRule="auto"/>
        <w:ind w:firstLine="480" w:firstLineChars="200"/>
        <w:contextualSpacing/>
        <w:rPr>
          <w:sz w:val="24"/>
        </w:rPr>
      </w:pPr>
      <w:r>
        <w:rPr>
          <w:rFonts w:hint="eastAsia"/>
          <w:sz w:val="24"/>
        </w:rPr>
        <w:t>提供WAF防护服务，通过在前端架设WAF防护服务，保证用户对已知安全隐患进行防护，实时升级漏洞补丁，配置防护策略，起到前端防护作用；</w:t>
      </w:r>
    </w:p>
    <w:p>
      <w:pPr>
        <w:widowControl/>
        <w:spacing w:line="360" w:lineRule="auto"/>
        <w:ind w:firstLine="480" w:firstLineChars="200"/>
        <w:contextualSpacing/>
        <w:rPr>
          <w:sz w:val="24"/>
        </w:rPr>
      </w:pPr>
      <w:r>
        <w:rPr>
          <w:rFonts w:hint="eastAsia"/>
          <w:sz w:val="24"/>
          <w:lang w:val="en-US" w:eastAsia="zh-CN"/>
        </w:rPr>
        <w:t>4</w:t>
      </w:r>
      <w:r>
        <w:rPr>
          <w:sz w:val="24"/>
        </w:rPr>
        <w:t>.巡检服务</w:t>
      </w:r>
    </w:p>
    <w:p>
      <w:pPr>
        <w:widowControl/>
        <w:spacing w:line="360" w:lineRule="auto"/>
        <w:ind w:firstLine="480" w:firstLineChars="200"/>
        <w:contextualSpacing/>
        <w:rPr>
          <w:sz w:val="24"/>
        </w:rPr>
      </w:pPr>
      <w:r>
        <w:rPr>
          <w:rFonts w:hint="eastAsia"/>
          <w:sz w:val="24"/>
        </w:rPr>
        <w:t>利用监控系统或人工对机房环境、硬件设备及应用系统的运行情况进行7*24小时的不间断巡检监控，及时发现安全隐患，通知相关人员及时处理，并形成监控报告。</w:t>
      </w:r>
    </w:p>
    <w:p>
      <w:pPr>
        <w:widowControl/>
        <w:spacing w:line="360" w:lineRule="auto"/>
        <w:ind w:firstLine="480" w:firstLineChars="200"/>
        <w:contextualSpacing/>
        <w:rPr>
          <w:sz w:val="24"/>
        </w:rPr>
      </w:pPr>
      <w:r>
        <w:rPr>
          <w:rFonts w:hint="eastAsia"/>
          <w:sz w:val="24"/>
          <w:lang w:val="en-US" w:eastAsia="zh-CN"/>
        </w:rPr>
        <w:t>5</w:t>
      </w:r>
      <w:r>
        <w:rPr>
          <w:sz w:val="24"/>
        </w:rPr>
        <w:t>.及时响应服务</w:t>
      </w:r>
    </w:p>
    <w:p>
      <w:pPr>
        <w:widowControl/>
        <w:spacing w:line="360" w:lineRule="auto"/>
        <w:ind w:firstLine="480" w:firstLineChars="200"/>
        <w:contextualSpacing/>
        <w:rPr>
          <w:rFonts w:hint="eastAsia"/>
          <w:sz w:val="24"/>
        </w:rPr>
      </w:pPr>
      <w:r>
        <w:rPr>
          <w:rFonts w:hint="eastAsia"/>
          <w:sz w:val="24"/>
        </w:rPr>
        <w:t>设立技术支持热线，并安排专人值守，为运维工作提供7*24小时热线支持服务。7*24小时电话畅通，能够在系统发生除宕机外的其他故障问题时，能够协调资源在1小时内到达运维现场提供服务。系统发生宕机问题时，应在30分钟内响应，在4个小时之内使系统恢复正常，故障处理完毕后提供相关系统处置报告。</w:t>
      </w:r>
    </w:p>
    <w:p>
      <w:pPr>
        <w:pStyle w:val="2"/>
        <w:numPr>
          <w:ilvl w:val="0"/>
          <w:numId w:val="2"/>
        </w:numPr>
        <w:rPr>
          <w:rFonts w:hint="eastAsia"/>
          <w:lang w:val="en-US" w:eastAsia="zh-CN"/>
        </w:rPr>
      </w:pPr>
      <w:r>
        <w:rPr>
          <w:rFonts w:hint="eastAsia"/>
          <w:lang w:val="en-US" w:eastAsia="zh-CN"/>
        </w:rPr>
        <w:t>迁移服务</w:t>
      </w:r>
    </w:p>
    <w:p>
      <w:pPr>
        <w:widowControl/>
        <w:spacing w:line="360" w:lineRule="auto"/>
        <w:ind w:firstLine="480" w:firstLineChars="200"/>
        <w:contextualSpacing/>
        <w:rPr>
          <w:rFonts w:hint="eastAsia"/>
          <w:sz w:val="24"/>
          <w:lang w:val="en-US" w:eastAsia="zh-CN"/>
        </w:rPr>
      </w:pPr>
      <w:r>
        <w:rPr>
          <w:rFonts w:hint="eastAsia"/>
          <w:sz w:val="24"/>
          <w:lang w:val="en-US" w:eastAsia="zh-CN"/>
        </w:rPr>
        <w:t>本项目涉及的业务系统为采购人在用的生产系统，目前在政务云上平稳运行，因此保障业务连续性是重要的保障需求。投标人须提供业务连续性服务保障，如涉及系统迁移，为保障业务系统的连续性，投标人应承诺自中标之日起，在4个工作日内，完成系统迁移平滑过渡，因此产生的各项费用（包括但不限于测试阶段的云资源费用，系统开发商对业务系统的部署、调试费用等），应包含在投保人的报价中。</w:t>
      </w:r>
    </w:p>
    <w:tbl>
      <w:tblPr>
        <w:tblStyle w:val="7"/>
        <w:tblpPr w:leftFromText="180" w:rightFromText="180" w:vertAnchor="text" w:tblpY="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662"/>
        <w:gridCol w:w="6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noWrap w:val="0"/>
            <w:vAlign w:val="top"/>
          </w:tcPr>
          <w:p>
            <w:pPr>
              <w:widowControl/>
              <w:spacing w:line="360" w:lineRule="auto"/>
              <w:ind w:firstLine="0" w:firstLineChars="0"/>
              <w:contextualSpacing/>
              <w:rPr>
                <w:sz w:val="24"/>
              </w:rPr>
            </w:pPr>
            <w:r>
              <w:rPr>
                <w:rFonts w:hint="eastAsia"/>
                <w:sz w:val="24"/>
              </w:rPr>
              <w:t>序号</w:t>
            </w:r>
          </w:p>
        </w:tc>
        <w:tc>
          <w:tcPr>
            <w:tcW w:w="1662" w:type="dxa"/>
            <w:noWrap w:val="0"/>
            <w:vAlign w:val="top"/>
          </w:tcPr>
          <w:p>
            <w:pPr>
              <w:widowControl/>
              <w:spacing w:line="360" w:lineRule="auto"/>
              <w:ind w:firstLine="0" w:firstLineChars="0"/>
              <w:contextualSpacing/>
              <w:rPr>
                <w:sz w:val="24"/>
              </w:rPr>
            </w:pPr>
            <w:r>
              <w:rPr>
                <w:rFonts w:hint="eastAsia"/>
                <w:sz w:val="24"/>
              </w:rPr>
              <w:t xml:space="preserve">服务内容 </w:t>
            </w:r>
          </w:p>
        </w:tc>
        <w:tc>
          <w:tcPr>
            <w:tcW w:w="6086" w:type="dxa"/>
            <w:noWrap w:val="0"/>
            <w:vAlign w:val="top"/>
          </w:tcPr>
          <w:p>
            <w:pPr>
              <w:widowControl/>
              <w:spacing w:line="360" w:lineRule="auto"/>
              <w:ind w:firstLine="0" w:firstLineChars="0"/>
              <w:contextualSpacing/>
              <w:rPr>
                <w:sz w:val="24"/>
              </w:rPr>
            </w:pPr>
            <w:r>
              <w:rPr>
                <w:rFonts w:hint="eastAsia"/>
                <w:sz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noWrap w:val="0"/>
            <w:vAlign w:val="top"/>
          </w:tcPr>
          <w:p>
            <w:pPr>
              <w:widowControl/>
              <w:spacing w:line="360" w:lineRule="auto"/>
              <w:ind w:firstLine="0" w:firstLineChars="0"/>
              <w:contextualSpacing/>
              <w:rPr>
                <w:sz w:val="24"/>
              </w:rPr>
            </w:pPr>
            <w:r>
              <w:rPr>
                <w:rFonts w:hint="eastAsia"/>
                <w:sz w:val="24"/>
              </w:rPr>
              <w:t>1</w:t>
            </w:r>
          </w:p>
        </w:tc>
        <w:tc>
          <w:tcPr>
            <w:tcW w:w="1662" w:type="dxa"/>
            <w:noWrap w:val="0"/>
            <w:vAlign w:val="top"/>
          </w:tcPr>
          <w:p>
            <w:pPr>
              <w:widowControl/>
              <w:spacing w:line="360" w:lineRule="auto"/>
              <w:ind w:firstLine="0" w:firstLineChars="0"/>
              <w:contextualSpacing/>
              <w:rPr>
                <w:sz w:val="24"/>
              </w:rPr>
            </w:pPr>
            <w:r>
              <w:rPr>
                <w:rFonts w:hint="eastAsia"/>
                <w:sz w:val="24"/>
              </w:rPr>
              <w:t>计算服务</w:t>
            </w:r>
          </w:p>
        </w:tc>
        <w:tc>
          <w:tcPr>
            <w:tcW w:w="6086" w:type="dxa"/>
            <w:noWrap w:val="0"/>
            <w:vAlign w:val="top"/>
          </w:tcPr>
          <w:p>
            <w:pPr>
              <w:widowControl/>
              <w:spacing w:line="360" w:lineRule="auto"/>
              <w:ind w:firstLine="0" w:firstLineChars="0"/>
              <w:contextualSpacing/>
              <w:rPr>
                <w:sz w:val="24"/>
              </w:rPr>
            </w:pPr>
            <w:r>
              <w:rPr>
                <w:rFonts w:hint="eastAsia"/>
                <w:sz w:val="24"/>
              </w:rPr>
              <w:t>主频不低于2.4GHz，需要按照采购人要求对vCPU及内存进行动态调整。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noWrap w:val="0"/>
            <w:vAlign w:val="top"/>
          </w:tcPr>
          <w:p>
            <w:pPr>
              <w:widowControl/>
              <w:spacing w:line="360" w:lineRule="auto"/>
              <w:ind w:firstLine="0" w:firstLineChars="0"/>
              <w:contextualSpacing/>
              <w:rPr>
                <w:sz w:val="24"/>
              </w:rPr>
            </w:pPr>
            <w:r>
              <w:rPr>
                <w:rFonts w:hint="eastAsia"/>
                <w:sz w:val="24"/>
              </w:rPr>
              <w:t>2</w:t>
            </w:r>
          </w:p>
        </w:tc>
        <w:tc>
          <w:tcPr>
            <w:tcW w:w="1662" w:type="dxa"/>
            <w:noWrap w:val="0"/>
            <w:vAlign w:val="top"/>
          </w:tcPr>
          <w:p>
            <w:pPr>
              <w:widowControl/>
              <w:spacing w:line="360" w:lineRule="auto"/>
              <w:ind w:firstLine="0" w:firstLineChars="0"/>
              <w:contextualSpacing/>
              <w:rPr>
                <w:sz w:val="24"/>
              </w:rPr>
            </w:pPr>
            <w:r>
              <w:rPr>
                <w:rFonts w:hint="eastAsia"/>
                <w:sz w:val="24"/>
              </w:rPr>
              <w:t>存储服务</w:t>
            </w:r>
          </w:p>
        </w:tc>
        <w:tc>
          <w:tcPr>
            <w:tcW w:w="6086" w:type="dxa"/>
            <w:noWrap w:val="0"/>
            <w:vAlign w:val="top"/>
          </w:tcPr>
          <w:p>
            <w:pPr>
              <w:widowControl/>
              <w:spacing w:line="360" w:lineRule="auto"/>
              <w:ind w:firstLine="0" w:firstLineChars="0"/>
              <w:contextualSpacing/>
              <w:rPr>
                <w:sz w:val="24"/>
              </w:rPr>
            </w:pPr>
            <w:r>
              <w:rPr>
                <w:rFonts w:hint="eastAsia"/>
                <w:sz w:val="24"/>
              </w:rPr>
              <w:t>提供单盘IOPS 3000-20000的高性能存储服务、单盘IPOS 1000-3000的普通存储服务，需要按照采购人要求对存储空间和配置进行动态调整。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noWrap w:val="0"/>
            <w:vAlign w:val="top"/>
          </w:tcPr>
          <w:p>
            <w:pPr>
              <w:widowControl/>
              <w:spacing w:line="360" w:lineRule="auto"/>
              <w:ind w:firstLine="0" w:firstLineChars="0"/>
              <w:contextualSpacing/>
              <w:rPr>
                <w:sz w:val="24"/>
              </w:rPr>
            </w:pPr>
            <w:r>
              <w:rPr>
                <w:rFonts w:hint="eastAsia"/>
                <w:sz w:val="24"/>
              </w:rPr>
              <w:t>3</w:t>
            </w:r>
          </w:p>
        </w:tc>
        <w:tc>
          <w:tcPr>
            <w:tcW w:w="1662" w:type="dxa"/>
            <w:noWrap w:val="0"/>
            <w:vAlign w:val="top"/>
          </w:tcPr>
          <w:p>
            <w:pPr>
              <w:widowControl/>
              <w:spacing w:line="360" w:lineRule="auto"/>
              <w:ind w:firstLine="0" w:firstLineChars="0"/>
              <w:contextualSpacing/>
              <w:rPr>
                <w:sz w:val="24"/>
              </w:rPr>
            </w:pPr>
            <w:r>
              <w:rPr>
                <w:rFonts w:hint="eastAsia"/>
                <w:sz w:val="24"/>
              </w:rPr>
              <w:t>网络服务</w:t>
            </w:r>
          </w:p>
        </w:tc>
        <w:tc>
          <w:tcPr>
            <w:tcW w:w="6086" w:type="dxa"/>
            <w:noWrap w:val="0"/>
            <w:vAlign w:val="top"/>
          </w:tcPr>
          <w:p>
            <w:pPr>
              <w:widowControl/>
              <w:spacing w:line="360" w:lineRule="auto"/>
              <w:ind w:firstLine="0" w:firstLineChars="0"/>
              <w:contextualSpacing/>
              <w:rPr>
                <w:sz w:val="24"/>
              </w:rPr>
            </w:pPr>
            <w:r>
              <w:rPr>
                <w:rFonts w:hint="eastAsia"/>
                <w:sz w:val="24"/>
              </w:rPr>
              <w:t>提供互联网链路带宽、互联网IP地址租用、主机负载均衡、远程接入和WAF防护服务。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2" w:type="dxa"/>
            <w:noWrap w:val="0"/>
            <w:vAlign w:val="top"/>
          </w:tcPr>
          <w:p>
            <w:pPr>
              <w:widowControl/>
              <w:spacing w:line="360" w:lineRule="auto"/>
              <w:ind w:firstLine="0" w:firstLineChars="0"/>
              <w:contextualSpacing/>
              <w:rPr>
                <w:rFonts w:hint="eastAsia" w:eastAsia="宋体"/>
                <w:sz w:val="24"/>
                <w:lang w:val="en-US" w:eastAsia="zh-CN"/>
              </w:rPr>
            </w:pPr>
            <w:r>
              <w:rPr>
                <w:rFonts w:hint="eastAsia"/>
                <w:sz w:val="24"/>
                <w:lang w:val="en-US" w:eastAsia="zh-CN"/>
              </w:rPr>
              <w:t>4</w:t>
            </w:r>
          </w:p>
        </w:tc>
        <w:tc>
          <w:tcPr>
            <w:tcW w:w="1662" w:type="dxa"/>
            <w:noWrap w:val="0"/>
            <w:vAlign w:val="top"/>
          </w:tcPr>
          <w:p>
            <w:pPr>
              <w:widowControl/>
              <w:spacing w:line="360" w:lineRule="auto"/>
              <w:ind w:firstLine="0" w:firstLineChars="0"/>
              <w:contextualSpacing/>
              <w:rPr>
                <w:sz w:val="24"/>
              </w:rPr>
            </w:pPr>
            <w:r>
              <w:rPr>
                <w:sz w:val="24"/>
              </w:rPr>
              <w:t>巡检服务</w:t>
            </w:r>
          </w:p>
        </w:tc>
        <w:tc>
          <w:tcPr>
            <w:tcW w:w="6086" w:type="dxa"/>
            <w:noWrap w:val="0"/>
            <w:vAlign w:val="top"/>
          </w:tcPr>
          <w:p>
            <w:pPr>
              <w:widowControl/>
              <w:spacing w:line="360" w:lineRule="auto"/>
              <w:ind w:firstLine="0" w:firstLineChars="0"/>
              <w:contextualSpacing/>
              <w:rPr>
                <w:sz w:val="24"/>
              </w:rPr>
            </w:pPr>
            <w:r>
              <w:rPr>
                <w:rFonts w:hint="eastAsia"/>
                <w:sz w:val="24"/>
              </w:rPr>
              <w:t>对机房环境、硬件设备及应用系统的运行情况进行7*24小时的不间断巡检监控，及时发现安全隐患，通知相关人员及时处理，并形成监控报告。</w:t>
            </w:r>
          </w:p>
        </w:tc>
      </w:tr>
    </w:tbl>
    <w:p>
      <w:pPr>
        <w:adjustRightInd w:val="0"/>
        <w:jc w:val="left"/>
        <w:textAlignment w:val="baseline"/>
        <w:outlineLvl w:val="0"/>
      </w:pPr>
    </w:p>
    <w:p>
      <w:pPr>
        <w:pStyle w:val="10"/>
        <w:adjustRightInd w:val="0"/>
        <w:spacing w:line="360" w:lineRule="auto"/>
        <w:ind w:firstLine="424" w:firstLineChars="177"/>
        <w:contextualSpacing/>
        <w:jc w:val="left"/>
        <w:rPr>
          <w:rFonts w:ascii="Times New Roman" w:hAnsi="Times New Roman"/>
          <w:sz w:val="24"/>
          <w:szCs w:val="24"/>
        </w:rPr>
      </w:pPr>
    </w:p>
    <w:p>
      <w:pPr>
        <w:spacing w:line="360" w:lineRule="auto"/>
        <w:contextualSpacing/>
        <w:outlineLvl w:val="1"/>
        <w:rPr>
          <w:i/>
          <w:iCs/>
          <w:sz w:val="24"/>
        </w:rPr>
      </w:pPr>
      <w:r>
        <w:rPr>
          <w:sz w:val="24"/>
        </w:rPr>
        <w:t>3. 验收标准</w:t>
      </w:r>
    </w:p>
    <w:p>
      <w:pPr>
        <w:spacing w:line="360" w:lineRule="auto"/>
        <w:contextualSpacing/>
        <w:outlineLvl w:val="1"/>
        <w:rPr>
          <w:sz w:val="24"/>
        </w:rPr>
      </w:pPr>
      <w:r>
        <w:rPr>
          <w:rFonts w:hint="eastAsia"/>
          <w:sz w:val="24"/>
          <w:lang w:val="en-US" w:eastAsia="zh-CN"/>
        </w:rPr>
        <w:t>服务过程中应通过交付计划、交付实施、交付检查和交付改进等动作，确保质量有效管控，完成服务内容，满足服务标准。针对双方约定的服务内容，应按要求提供电子和纸质的交付证明文档，积极配合完成验收工作。如没有满足服务内容及服务标准的要求，除应采取补救措施外，中共北京市委组织部有权要求一定的补偿。</w:t>
      </w:r>
    </w:p>
    <w:p>
      <w:pPr>
        <w:spacing w:line="360" w:lineRule="auto"/>
        <w:contextualSpacing/>
        <w:outlineLvl w:val="1"/>
        <w:rPr>
          <w:sz w:val="24"/>
        </w:rPr>
      </w:pPr>
      <w:r>
        <w:rPr>
          <w:sz w:val="24"/>
        </w:rPr>
        <w:t>4. 其他要求（如有）</w:t>
      </w:r>
    </w:p>
    <w:p>
      <w:pPr>
        <w:spacing w:line="360" w:lineRule="auto"/>
        <w:contextualSpacing/>
        <w:outlineLvl w:val="1"/>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1</w:t>
      </w:r>
      <w:r>
        <w:rPr>
          <w:rFonts w:hint="eastAsia" w:ascii="宋体" w:hAnsi="宋体" w:eastAsia="宋体" w:cs="宋体"/>
          <w:sz w:val="24"/>
        </w:rPr>
        <w:t>投标人须提供1名项目经理、1名技术负责人和5名项目团队专职人员，为本项目提供服务。项目经理需按照采购人要求，承担云资源服务保障具体工作，</w:t>
      </w:r>
    </w:p>
    <w:p>
      <w:pPr>
        <w:spacing w:line="360" w:lineRule="auto"/>
        <w:contextualSpacing/>
        <w:outlineLvl w:val="1"/>
        <w:rPr>
          <w:rFonts w:hint="eastAsia" w:ascii="宋体" w:hAnsi="宋体" w:eastAsia="宋体" w:cs="宋体"/>
          <w:sz w:val="24"/>
          <w:szCs w:val="24"/>
          <w:lang w:eastAsia="zh-CN"/>
        </w:rPr>
      </w:pPr>
      <w:r>
        <w:rPr>
          <w:rFonts w:hint="eastAsia" w:ascii="宋体" w:hAnsi="宋体" w:eastAsia="宋体" w:cs="宋体"/>
          <w:sz w:val="24"/>
        </w:rPr>
        <w:t>技术支持人员要求如下：</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910"/>
        <w:gridCol w:w="114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岗位名称</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岗位职责</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人员数量</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项目整体协调和管理</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eastAsia="zh-CN"/>
              </w:rPr>
            </w:pPr>
            <w:r>
              <w:rPr>
                <w:rFonts w:hint="eastAsia" w:ascii="宋体" w:hAnsi="宋体" w:cs="宋体"/>
                <w:sz w:val="24"/>
                <w:szCs w:val="24"/>
                <w:lang w:val="en-US" w:eastAsia="zh-CN"/>
              </w:rPr>
              <w:t>5</w:t>
            </w:r>
            <w:r>
              <w:rPr>
                <w:rFonts w:hint="eastAsia" w:ascii="宋体" w:hAnsi="宋体" w:cs="宋体"/>
                <w:sz w:val="24"/>
                <w:szCs w:val="24"/>
              </w:rPr>
              <w:t>年及以上类似工作经验</w:t>
            </w:r>
            <w:r>
              <w:rPr>
                <w:rFonts w:hint="eastAsia" w:ascii="宋体" w:hAnsi="宋体" w:cs="宋体"/>
                <w:sz w:val="24"/>
                <w:szCs w:val="24"/>
                <w:lang w:eastAsia="zh-CN"/>
              </w:rPr>
              <w:t>，具有</w:t>
            </w:r>
            <w:r>
              <w:rPr>
                <w:rFonts w:hint="eastAsia" w:ascii="宋体" w:hAnsi="宋体" w:eastAsia="宋体" w:cs="宋体"/>
                <w:sz w:val="24"/>
                <w:szCs w:val="24"/>
                <w:lang w:eastAsia="zh-CN"/>
              </w:rPr>
              <w:t>信息系统项目管理师（高级）证书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技术负责人</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技术整体把控</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eastAsia="zh-CN"/>
              </w:rPr>
            </w:pPr>
            <w:r>
              <w:rPr>
                <w:rFonts w:hint="eastAsia" w:ascii="宋体" w:hAnsi="宋体" w:cs="宋体"/>
                <w:sz w:val="24"/>
                <w:szCs w:val="24"/>
              </w:rPr>
              <w:t>5年及以上类似工作经验</w:t>
            </w:r>
            <w:r>
              <w:rPr>
                <w:rFonts w:hint="eastAsia" w:ascii="宋体" w:hAnsi="宋体" w:cs="宋体"/>
                <w:sz w:val="24"/>
                <w:szCs w:val="24"/>
                <w:lang w:eastAsia="zh-CN"/>
              </w:rPr>
              <w:t>，具有</w:t>
            </w:r>
            <w:r>
              <w:rPr>
                <w:rFonts w:hint="eastAsia" w:ascii="宋体" w:hAnsi="宋体" w:cs="宋体"/>
                <w:sz w:val="24"/>
                <w:szCs w:val="24"/>
              </w:rPr>
              <w:t>信息系统项目管理师（高级）</w:t>
            </w:r>
            <w:r>
              <w:rPr>
                <w:rFonts w:hint="eastAsia" w:ascii="宋体" w:hAnsi="宋体" w:cs="宋体"/>
                <w:sz w:val="24"/>
                <w:szCs w:val="24"/>
                <w:lang w:eastAsia="zh-CN"/>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项目其他人员</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资源创建和调整、网络策略开通和云监控等</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4"/>
                <w:szCs w:val="24"/>
                <w:highlight w:val="none"/>
              </w:rPr>
            </w:pPr>
            <w:r>
              <w:rPr>
                <w:rFonts w:hint="eastAsia" w:ascii="宋体" w:hAnsi="宋体" w:cs="宋体"/>
                <w:sz w:val="24"/>
                <w:szCs w:val="24"/>
                <w:lang w:eastAsia="zh-CN"/>
              </w:rPr>
              <w:t>至少</w:t>
            </w:r>
            <w:r>
              <w:rPr>
                <w:rFonts w:hint="eastAsia" w:ascii="宋体" w:hAnsi="宋体" w:cs="宋体"/>
                <w:sz w:val="24"/>
                <w:szCs w:val="24"/>
                <w:lang w:val="en-US" w:eastAsia="zh-CN"/>
              </w:rPr>
              <w:t>2人具有</w:t>
            </w:r>
            <w:r>
              <w:rPr>
                <w:rFonts w:hint="eastAsia" w:ascii="宋体" w:hAnsi="宋体" w:cs="宋体"/>
                <w:sz w:val="24"/>
                <w:szCs w:val="24"/>
              </w:rPr>
              <w:t>5年及以上从事云技术服务工作经验</w:t>
            </w:r>
            <w:r>
              <w:rPr>
                <w:rFonts w:hint="eastAsia" w:ascii="宋体" w:hAnsi="宋体" w:cs="宋体"/>
                <w:sz w:val="24"/>
                <w:szCs w:val="24"/>
                <w:lang w:eastAsia="zh-CN"/>
              </w:rPr>
              <w:t>；至少</w:t>
            </w:r>
            <w:r>
              <w:rPr>
                <w:rFonts w:hint="eastAsia" w:ascii="宋体" w:hAnsi="宋体" w:cs="宋体"/>
                <w:sz w:val="24"/>
                <w:szCs w:val="24"/>
                <w:lang w:val="en-US" w:eastAsia="zh-CN"/>
              </w:rPr>
              <w:t>2人</w:t>
            </w:r>
            <w:r>
              <w:rPr>
                <w:rFonts w:hint="eastAsia" w:ascii="宋体" w:hAnsi="宋体" w:cs="宋体"/>
                <w:sz w:val="24"/>
                <w:szCs w:val="24"/>
              </w:rPr>
              <w:t>具有信息系统项目管理师（高级）证书</w:t>
            </w:r>
            <w:r>
              <w:rPr>
                <w:rFonts w:hint="eastAsia" w:ascii="宋体" w:hAnsi="宋体" w:cs="宋体"/>
                <w:sz w:val="24"/>
                <w:szCs w:val="24"/>
                <w:lang w:eastAsia="zh-CN"/>
              </w:rPr>
              <w:t>或</w:t>
            </w:r>
            <w:r>
              <w:rPr>
                <w:rFonts w:hint="eastAsia" w:ascii="宋体" w:hAnsi="宋体" w:cs="宋体"/>
                <w:sz w:val="24"/>
                <w:szCs w:val="24"/>
              </w:rPr>
              <w:t>CISP证书</w:t>
            </w:r>
          </w:p>
        </w:tc>
      </w:tr>
    </w:tbl>
    <w:p>
      <w:pPr>
        <w:spacing w:line="360" w:lineRule="auto"/>
        <w:contextualSpacing/>
        <w:outlineLvl w:val="1"/>
        <w:rPr>
          <w:rFonts w:hint="eastAsia"/>
          <w:sz w:val="24"/>
          <w:lang w:eastAsia="zh-CN"/>
        </w:rPr>
      </w:pPr>
    </w:p>
    <w:p>
      <w:pPr>
        <w:spacing w:line="360" w:lineRule="auto"/>
        <w:contextualSpacing/>
        <w:outlineLvl w:val="1"/>
        <w:rPr>
          <w:rFonts w:hint="eastAsia"/>
          <w:sz w:val="24"/>
          <w:lang w:eastAsia="zh-CN"/>
        </w:rPr>
      </w:pPr>
    </w:p>
    <w:p>
      <w:pPr>
        <w:pStyle w:val="3"/>
        <w:rPr>
          <w:rFonts w:hint="eastAsia"/>
        </w:rPr>
      </w:pPr>
      <w:r>
        <w:rPr>
          <w:rFonts w:hint="eastAsia"/>
          <w:lang w:eastAsia="zh-CN"/>
        </w:rPr>
        <w:t>四、</w:t>
      </w:r>
      <w:r>
        <w:rPr>
          <w:rFonts w:hint="eastAsia"/>
        </w:rPr>
        <w:t xml:space="preserve">政策性采购需求 </w:t>
      </w:r>
    </w:p>
    <w:p>
      <w:pPr>
        <w:pStyle w:val="3"/>
      </w:pPr>
      <w:r>
        <w:rPr>
          <w:rFonts w:hint="eastAsia"/>
        </w:rPr>
        <w:t>为在项目中充分落实《政府采购法》规定的“政府采购应当有助于实现国家的经济和社会发展政策目标”等相关要求，以项目为载体推动北京市环境社会治理(ESG)体系高质量发展，请</w:t>
      </w:r>
      <w:r>
        <w:rPr>
          <w:rFonts w:hint="eastAsia"/>
          <w:lang w:eastAsia="zh-CN"/>
        </w:rPr>
        <w:t>投标人</w:t>
      </w:r>
      <w:r>
        <w:rPr>
          <w:rFonts w:hint="eastAsia"/>
        </w:rPr>
        <w:t>提供在本项目中落实 ESG 理念的工作措施。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C96F"/>
    <w:multiLevelType w:val="singleLevel"/>
    <w:tmpl w:val="1145C96F"/>
    <w:lvl w:ilvl="0" w:tentative="0">
      <w:start w:val="6"/>
      <w:numFmt w:val="decimal"/>
      <w:lvlText w:val="%1."/>
      <w:lvlJc w:val="left"/>
      <w:pPr>
        <w:tabs>
          <w:tab w:val="left" w:pos="312"/>
        </w:tabs>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9F3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annotation text"/>
    <w:basedOn w:val="1"/>
    <w:qFormat/>
    <w:uiPriority w:val="99"/>
    <w:pPr>
      <w:jc w:val="left"/>
    </w:pPr>
  </w:style>
  <w:style w:type="paragraph" w:styleId="4">
    <w:name w:val="Body Text Indent"/>
    <w:basedOn w:val="1"/>
    <w:next w:val="5"/>
    <w:qFormat/>
    <w:uiPriority w:val="0"/>
    <w:pPr>
      <w:spacing w:line="360" w:lineRule="auto"/>
      <w:ind w:firstLine="570"/>
    </w:pPr>
    <w:rPr>
      <w:sz w:val="24"/>
    </w:rPr>
  </w:style>
  <w:style w:type="paragraph" w:styleId="5">
    <w:name w:val="envelope return"/>
    <w:basedOn w:val="1"/>
    <w:qFormat/>
    <w:uiPriority w:val="0"/>
    <w:pPr>
      <w:snapToGrid w:val="0"/>
    </w:pPr>
    <w:rPr>
      <w:rFonts w:ascii="Arial" w:hAnsi="Arial"/>
    </w:rPr>
  </w:style>
  <w:style w:type="paragraph" w:styleId="6">
    <w:name w:val="Body Text First Indent 2"/>
    <w:basedOn w:val="4"/>
    <w:next w:val="1"/>
    <w:qFormat/>
    <w:uiPriority w:val="0"/>
    <w:pPr>
      <w:spacing w:after="120" w:line="480" w:lineRule="exact"/>
      <w:ind w:left="420" w:leftChars="200" w:firstLine="420" w:firstLineChars="200"/>
    </w:pPr>
    <w:rPr>
      <w:szCs w:val="20"/>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2026-02-13T08:10:27Z</dcterms:created>
  <dc:creator>user</dc:creator>
  <cp:lastModifiedBy>11</cp:lastModifiedBy>
  <dcterms:modified xsi:type="dcterms:W3CDTF">2026-02-13T08:10:53Z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